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  <Override PartName="/word/header3.xml" ContentType="application/vnd.openxmlformats-officedocument.wordprocessingml.header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header4.xml" ContentType="application/vnd.openxmlformats-officedocument.wordprocessingml.header+xml"/>
  <Override PartName="/word/styles.xml" ContentType="application/vnd.openxmlformats-officedocument.wordprocessingml.styles+xml"/>
  <Override PartName="/word/fonts/font16.odttf" ContentType="application/vnd.openxmlformats-officedocument.obfuscatedFont"/>
  <Override PartName="/word/fonts/font15.odttf" ContentType="application/vnd.openxmlformats-officedocument.obfuscatedFont"/>
  <Override PartName="/word/fonts/font14.odttf" ContentType="application/vnd.openxmlformats-officedocument.obfuscatedFont"/>
  <Override PartName="/word/fonts/font1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17.odttf" ContentType="application/vnd.openxmlformats-officedocument.obfuscatedFont"/>
  <Override PartName="/word/fonts/font19.odttf" ContentType="application/vnd.openxmlformats-officedocument.obfuscatedFont"/>
  <Override PartName="/word/fonts/font18.odttf" ContentType="application/vnd.openxmlformats-officedocument.obfuscatedFont"/>
  <Override PartName="/word/fonts/font20.odttf" ContentType="application/vnd.openxmlformats-officedocument.obfuscatedFont"/>
  <Override PartName="/word/fonts/font3.odttf" ContentType="application/vnd.openxmlformats-officedocument.obfuscatedFont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10.odttf" ContentType="application/vnd.openxmlformats-officedocument.obfuscatedFont"/>
  <Override PartName="/word/fonts/font9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5.xml" ContentType="application/vnd.openxmlformats-officedocument.wordprocessingml.header+xml"/>
  <Override PartName="/customXml/_rels/item1.xml.rels" ContentType="application/vnd.openxmlformats-package.relationships+xml"/>
  <Override PartName="/customXml/itemProps1.xml" ContentType="application/vnd.openxmlformats-officedocument.customXmlProperties+xml"/>
  <Override PartName="/customXml/item1.xml" ContentType="application/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keepNext w:val="true"/>
        <w:keepLines/>
        <w:rPr>
          <w:highlight w:val="none"/>
          <w:shd w:fill="auto" w:val="clear"/>
        </w:rPr>
      </w:pPr>
      <w:r>
        <w:rPr>
          <w:shd w:fill="auto" w:val="clear"/>
        </w:rPr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b/>
          <w:bCs/>
          <w:sz w:val="26"/>
          <w:szCs w:val="26"/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b/>
          <w:bCs/>
          <w:sz w:val="26"/>
          <w:szCs w:val="26"/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b/>
          <w:bCs/>
          <w:sz w:val="26"/>
          <w:szCs w:val="26"/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b/>
          <w:bCs/>
          <w:sz w:val="26"/>
          <w:szCs w:val="26"/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b/>
          <w:bCs/>
          <w:sz w:val="26"/>
          <w:szCs w:val="26"/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b/>
          <w:bCs/>
          <w:sz w:val="26"/>
          <w:szCs w:val="26"/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b/>
          <w:bCs/>
          <w:sz w:val="26"/>
          <w:szCs w:val="26"/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b/>
          <w:bCs/>
          <w:sz w:val="26"/>
          <w:szCs w:val="26"/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b/>
          <w:bCs/>
          <w:sz w:val="26"/>
          <w:szCs w:val="26"/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b/>
          <w:bCs/>
          <w:sz w:val="26"/>
          <w:szCs w:val="26"/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  <w:t xml:space="preserve">Технические требования </w:t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b/>
          <w:bCs/>
          <w:sz w:val="26"/>
          <w:szCs w:val="26"/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b/>
          <w:bCs/>
          <w:sz w:val="26"/>
          <w:szCs w:val="26"/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</w:r>
    </w:p>
    <w:p>
      <w:pPr>
        <w:pStyle w:val="Normal"/>
        <w:jc w:val="center"/>
        <w:rPr>
          <w:highlight w:val="none"/>
          <w:shd w:fill="auto" w:val="clear"/>
        </w:rPr>
      </w:pPr>
      <w:r>
        <w:rPr>
          <w:shd w:fill="auto" w:val="clear"/>
        </w:rPr>
        <w:t>ОКПД2 - ОКПД2 - 62.01.29.000. Поставка средств защиты информации</w:t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highlight w:val="none"/>
          <w:shd w:fill="auto" w:val="clear"/>
        </w:rPr>
      </w:pPr>
      <w:r>
        <w:rPr>
          <w:shd w:fill="auto" w:val="clear"/>
        </w:rPr>
        <w:t>Лот №50501-ЭКСП ДИТ-2026-СахаЭ</w:t>
      </w:r>
    </w:p>
    <w:p>
      <w:pPr>
        <w:pStyle w:val="Normal"/>
        <w:widowControl w:val="false"/>
        <w:tabs>
          <w:tab w:val="clear" w:pos="720"/>
          <w:tab w:val="left" w:pos="426" w:leader="none"/>
        </w:tabs>
        <w:jc w:val="center"/>
        <w:rPr>
          <w:b/>
          <w:bCs/>
          <w:sz w:val="26"/>
          <w:szCs w:val="26"/>
          <w:highlight w:val="none"/>
          <w:shd w:fill="auto" w:val="clear"/>
        </w:rPr>
      </w:pPr>
      <w:r>
        <w:rPr>
          <w:b/>
          <w:bCs/>
          <w:sz w:val="26"/>
          <w:szCs w:val="26"/>
          <w:shd w:fill="auto" w:val="clear"/>
        </w:rPr>
      </w:r>
    </w:p>
    <w:p>
      <w:pPr>
        <w:pStyle w:val="Normal"/>
        <w:rPr>
          <w:sz w:val="26"/>
          <w:szCs w:val="26"/>
          <w:highlight w:val="none"/>
          <w:shd w:fill="auto" w:val="clear"/>
        </w:rPr>
      </w:pPr>
      <w:r>
        <w:rPr>
          <w:sz w:val="26"/>
          <w:szCs w:val="26"/>
          <w:shd w:fill="auto" w:val="clear"/>
        </w:rPr>
      </w:r>
      <w:r>
        <w:br w:type="page"/>
      </w:r>
    </w:p>
    <w:p>
      <w:pPr>
        <w:pStyle w:val="Normal"/>
        <w:jc w:val="center"/>
        <w:rPr>
          <w:highlight w:val="none"/>
          <w:shd w:fill="auto" w:val="clear"/>
        </w:rPr>
      </w:pPr>
      <w:r>
        <w:rPr>
          <w:b/>
          <w:bCs/>
          <w:shd w:fill="auto" w:val="clear"/>
        </w:rPr>
        <w:t>СОДЕРЖАНИЕ</w:t>
      </w:r>
    </w:p>
    <w:sdt>
      <w:sdtPr>
        <w:docPartObj>
          <w:docPartGallery w:val="Table of Contents"/>
          <w:docPartUnique w:val="true"/>
        </w:docPartObj>
      </w:sdtPr>
      <w:sdtContent>
        <w:p>
          <w:pPr>
            <w:pStyle w:val="Normal"/>
            <w:pBdr/>
            <w:tabs>
              <w:tab w:val="clear" w:pos="720"/>
              <w:tab w:val="left" w:pos="567" w:leader="none"/>
              <w:tab w:val="right" w:pos="9911" w:leader="none"/>
            </w:tabs>
            <w:spacing w:before="120" w:after="0"/>
            <w:rPr/>
          </w:pPr>
          <w:r>
            <w:fldChar w:fldCharType="begin"/>
          </w:r>
          <w:r>
            <w:rPr>
              <w:webHidden/>
              <w:rStyle w:val="Style5"/>
              <w:sz w:val="24"/>
              <w:b/>
              <w:shd w:fill="auto" w:val="clear"/>
              <w:szCs w:val="24"/>
              <w:bCs/>
              <w:color w:val="000000"/>
            </w:rPr>
            <w:instrText xml:space="preserve"> TOC \z \o "1-9" \u \t "Heading 1,1,Heading 2,2,Heading 3,3,Heading 4,4" \h</w:instrText>
          </w:r>
          <w:r>
            <w:rPr>
              <w:webHidden/>
              <w:rStyle w:val="Style5"/>
              <w:sz w:val="24"/>
              <w:b/>
              <w:shd w:fill="auto" w:val="clear"/>
              <w:szCs w:val="24"/>
              <w:bCs/>
              <w:color w:val="000000"/>
            </w:rPr>
            <w:fldChar w:fldCharType="separate"/>
          </w:r>
          <w:hyperlink w:anchor="_heading=h.wyxgx5xfb6c">
            <w:r>
              <w:rPr>
                <w:webHidden/>
                <w:rStyle w:val="Style5"/>
                <w:b/>
                <w:bCs/>
                <w:color w:val="000000"/>
                <w:sz w:val="24"/>
                <w:szCs w:val="24"/>
                <w:shd w:fill="auto" w:val="clear"/>
              </w:rPr>
              <w:t>1.</w:t>
            </w:r>
          </w:hyperlink>
          <w:hyperlink w:anchor="_heading=h.wyxgx5xfb6c">
            <w:r>
              <w:rPr>
                <w:webHidden/>
                <w:rStyle w:val="Style5"/>
                <w:color w:val="000000"/>
                <w:sz w:val="22"/>
                <w:szCs w:val="22"/>
                <w:shd w:fill="auto" w:val="clear"/>
              </w:rPr>
              <w:tab/>
            </w:r>
          </w:hyperlink>
          <w:r>
            <w:rPr>
              <w:b/>
              <w:bCs/>
              <w:color w:val="000000"/>
              <w:sz w:val="24"/>
              <w:szCs w:val="24"/>
              <w:shd w:fill="auto" w:val="clear"/>
            </w:rPr>
            <w:t>Общие сведения</w:t>
            <w:tab/>
            <w:t>3</w:t>
          </w:r>
        </w:p>
        <w:p>
          <w:pPr>
            <w:pStyle w:val="Normal"/>
            <w:pBdr/>
            <w:tabs>
              <w:tab w:val="clear" w:pos="720"/>
              <w:tab w:val="left" w:pos="567" w:leader="none"/>
              <w:tab w:val="left" w:pos="1120" w:leader="none"/>
              <w:tab w:val="right" w:pos="9911" w:leader="none"/>
            </w:tabs>
            <w:ind w:left="560" w:hanging="0"/>
            <w:rPr/>
          </w:pPr>
          <w:hyperlink w:anchor="_heading=h.eh8s89v5x7mq">
            <w:r>
              <w:rPr>
                <w:webHidden/>
                <w:rStyle w:val="Style5"/>
                <w:color w:val="000000"/>
                <w:sz w:val="20"/>
                <w:szCs w:val="20"/>
                <w:shd w:fill="auto" w:val="clear"/>
              </w:rPr>
              <w:t>1.1.</w:t>
            </w:r>
          </w:hyperlink>
          <w:hyperlink w:anchor="_heading=h.eh8s89v5x7mq">
            <w:r>
              <w:rPr>
                <w:webHidden/>
                <w:rStyle w:val="Style5"/>
                <w:color w:val="000000"/>
                <w:sz w:val="22"/>
                <w:szCs w:val="22"/>
                <w:shd w:fill="auto" w:val="clear"/>
              </w:rPr>
              <w:tab/>
            </w:r>
          </w:hyperlink>
          <w:r>
            <w:rPr>
              <w:color w:val="000000"/>
              <w:sz w:val="20"/>
              <w:szCs w:val="20"/>
              <w:shd w:fill="auto" w:val="clear"/>
            </w:rPr>
            <w:t>Обозначения и сокращения</w:t>
            <w:tab/>
            <w:t>3</w:t>
          </w:r>
        </w:p>
        <w:p>
          <w:pPr>
            <w:pStyle w:val="Normal"/>
            <w:pBdr/>
            <w:tabs>
              <w:tab w:val="clear" w:pos="720"/>
              <w:tab w:val="left" w:pos="567" w:leader="none"/>
              <w:tab w:val="left" w:pos="1120" w:leader="none"/>
              <w:tab w:val="right" w:pos="9911" w:leader="none"/>
            </w:tabs>
            <w:ind w:left="560" w:hanging="0"/>
            <w:rPr/>
          </w:pPr>
          <w:hyperlink w:anchor="_heading=h.w763ffl7qg56">
            <w:r>
              <w:rPr>
                <w:webHidden/>
                <w:rStyle w:val="Style5"/>
                <w:color w:val="000000"/>
                <w:sz w:val="20"/>
                <w:szCs w:val="20"/>
                <w:shd w:fill="auto" w:val="clear"/>
              </w:rPr>
              <w:t>1.2.</w:t>
            </w:r>
          </w:hyperlink>
          <w:hyperlink w:anchor="_heading=h.w763ffl7qg56">
            <w:r>
              <w:rPr>
                <w:webHidden/>
                <w:rStyle w:val="Style5"/>
                <w:color w:val="000000"/>
                <w:sz w:val="22"/>
                <w:szCs w:val="22"/>
                <w:shd w:fill="auto" w:val="clear"/>
              </w:rPr>
              <w:tab/>
            </w:r>
          </w:hyperlink>
          <w:r>
            <w:rPr>
              <w:color w:val="000000"/>
              <w:sz w:val="20"/>
              <w:szCs w:val="20"/>
              <w:shd w:fill="auto" w:val="clear"/>
            </w:rPr>
            <w:t>Наименование закупаемой продукции</w:t>
            <w:tab/>
            <w:t>3</w:t>
          </w:r>
        </w:p>
        <w:p>
          <w:pPr>
            <w:pStyle w:val="Normal"/>
            <w:pBdr/>
            <w:tabs>
              <w:tab w:val="clear" w:pos="720"/>
              <w:tab w:val="left" w:pos="567" w:leader="none"/>
              <w:tab w:val="left" w:pos="1120" w:leader="none"/>
              <w:tab w:val="right" w:pos="9911" w:leader="none"/>
            </w:tabs>
            <w:ind w:left="560" w:hanging="0"/>
            <w:rPr/>
          </w:pPr>
          <w:hyperlink w:anchor="_heading=h.j997tgvaxcod">
            <w:r>
              <w:rPr>
                <w:webHidden/>
                <w:rStyle w:val="Style5"/>
                <w:color w:val="000000"/>
                <w:sz w:val="20"/>
                <w:szCs w:val="20"/>
                <w:shd w:fill="auto" w:val="clear"/>
              </w:rPr>
              <w:t>1.3.</w:t>
            </w:r>
          </w:hyperlink>
          <w:hyperlink w:anchor="_heading=h.j997tgvaxcod">
            <w:r>
              <w:rPr>
                <w:webHidden/>
                <w:rStyle w:val="Style5"/>
                <w:color w:val="000000"/>
                <w:sz w:val="22"/>
                <w:szCs w:val="22"/>
                <w:shd w:fill="auto" w:val="clear"/>
              </w:rPr>
              <w:tab/>
            </w:r>
          </w:hyperlink>
          <w:r>
            <w:rPr>
              <w:color w:val="000000"/>
              <w:sz w:val="20"/>
              <w:szCs w:val="20"/>
              <w:shd w:fill="auto" w:val="clear"/>
            </w:rPr>
            <w:t>Цель использования закупаемой продукции</w:t>
            <w:tab/>
            <w:t>3</w:t>
          </w:r>
        </w:p>
        <w:p>
          <w:pPr>
            <w:pStyle w:val="Normal"/>
            <w:pBdr/>
            <w:tabs>
              <w:tab w:val="clear" w:pos="720"/>
              <w:tab w:val="left" w:pos="567" w:leader="none"/>
              <w:tab w:val="left" w:pos="1120" w:leader="none"/>
              <w:tab w:val="right" w:pos="9911" w:leader="none"/>
            </w:tabs>
            <w:ind w:left="560" w:hanging="0"/>
            <w:rPr/>
          </w:pPr>
          <w:hyperlink w:anchor="_heading=h.gfw5igkygkz9">
            <w:r>
              <w:rPr>
                <w:webHidden/>
                <w:rStyle w:val="Style5"/>
                <w:color w:val="000000"/>
                <w:sz w:val="20"/>
                <w:szCs w:val="20"/>
                <w:shd w:fill="auto" w:val="clear"/>
              </w:rPr>
              <w:t>1.4.</w:t>
            </w:r>
          </w:hyperlink>
          <w:hyperlink w:anchor="_heading=h.gfw5igkygkz9">
            <w:r>
              <w:rPr>
                <w:webHidden/>
                <w:rStyle w:val="Style5"/>
                <w:color w:val="000000"/>
                <w:sz w:val="22"/>
                <w:szCs w:val="22"/>
                <w:shd w:fill="auto" w:val="clear"/>
              </w:rPr>
              <w:tab/>
            </w:r>
          </w:hyperlink>
          <w:r>
            <w:rPr>
              <w:color w:val="000000"/>
              <w:sz w:val="20"/>
              <w:szCs w:val="20"/>
              <w:shd w:fill="auto" w:val="clear"/>
            </w:rPr>
            <w:t>Существующее положение</w:t>
            <w:tab/>
            <w:t>3</w:t>
          </w:r>
        </w:p>
        <w:p>
          <w:pPr>
            <w:pStyle w:val="Normal"/>
            <w:pBdr/>
            <w:tabs>
              <w:tab w:val="clear" w:pos="720"/>
              <w:tab w:val="left" w:pos="567" w:leader="none"/>
              <w:tab w:val="right" w:pos="9911" w:leader="none"/>
            </w:tabs>
            <w:spacing w:before="120" w:after="0"/>
            <w:rPr/>
          </w:pPr>
          <w:hyperlink w:anchor="_heading=h.ukkd2lbxjdp2">
            <w:r>
              <w:rPr>
                <w:webHidden/>
                <w:rStyle w:val="Style5"/>
                <w:b/>
                <w:bCs/>
                <w:color w:val="000000"/>
                <w:sz w:val="24"/>
                <w:szCs w:val="24"/>
                <w:shd w:fill="auto" w:val="clear"/>
              </w:rPr>
              <w:t>2.</w:t>
            </w:r>
          </w:hyperlink>
          <w:hyperlink w:anchor="_heading=h.ukkd2lbxjdp2">
            <w:r>
              <w:rPr>
                <w:webHidden/>
                <w:rStyle w:val="Style5"/>
                <w:color w:val="000000"/>
                <w:sz w:val="22"/>
                <w:szCs w:val="22"/>
                <w:shd w:fill="auto" w:val="clear"/>
              </w:rPr>
              <w:tab/>
            </w:r>
          </w:hyperlink>
          <w:r>
            <w:rPr>
              <w:b/>
              <w:bCs/>
              <w:color w:val="000000"/>
              <w:sz w:val="24"/>
              <w:szCs w:val="24"/>
              <w:shd w:fill="auto" w:val="clear"/>
            </w:rPr>
            <w:t>Требования к продукции</w:t>
            <w:tab/>
            <w:t>3</w:t>
          </w:r>
        </w:p>
        <w:p>
          <w:pPr>
            <w:pStyle w:val="Normal"/>
            <w:pBdr/>
            <w:tabs>
              <w:tab w:val="clear" w:pos="720"/>
              <w:tab w:val="left" w:pos="567" w:leader="none"/>
              <w:tab w:val="left" w:pos="1120" w:leader="none"/>
              <w:tab w:val="right" w:pos="9911" w:leader="none"/>
            </w:tabs>
            <w:ind w:left="560" w:hanging="0"/>
            <w:rPr/>
          </w:pPr>
          <w:hyperlink w:anchor="_heading=h.s5ntmso4cdhg">
            <w:r>
              <w:rPr>
                <w:webHidden/>
                <w:rStyle w:val="Style5"/>
                <w:color w:val="000000"/>
                <w:sz w:val="20"/>
                <w:szCs w:val="20"/>
                <w:shd w:fill="auto" w:val="clear"/>
              </w:rPr>
              <w:t>2.1.</w:t>
            </w:r>
          </w:hyperlink>
          <w:hyperlink w:anchor="_heading=h.s5ntmso4cdhg">
            <w:r>
              <w:rPr>
                <w:webHidden/>
                <w:rStyle w:val="Style5"/>
                <w:color w:val="000000"/>
                <w:sz w:val="22"/>
                <w:szCs w:val="22"/>
                <w:shd w:fill="auto" w:val="clear"/>
              </w:rPr>
              <w:tab/>
            </w:r>
          </w:hyperlink>
          <w:r>
            <w:rPr>
              <w:color w:val="000000"/>
              <w:sz w:val="20"/>
              <w:szCs w:val="20"/>
              <w:shd w:fill="auto" w:val="clear"/>
            </w:rPr>
            <w:t>Требования к объемам и срокам поставки</w:t>
            <w:tab/>
            <w:t>3</w:t>
          </w:r>
        </w:p>
        <w:p>
          <w:pPr>
            <w:pStyle w:val="Normal"/>
            <w:pBdr/>
            <w:tabs>
              <w:tab w:val="clear" w:pos="720"/>
              <w:tab w:val="left" w:pos="567" w:leader="none"/>
              <w:tab w:val="left" w:pos="1120" w:leader="none"/>
              <w:tab w:val="right" w:pos="9911" w:leader="none"/>
            </w:tabs>
            <w:ind w:left="280" w:hanging="0"/>
            <w:rPr/>
          </w:pPr>
          <w:r>
            <w:rPr>
              <w:color w:val="000000"/>
              <w:sz w:val="20"/>
              <w:szCs w:val="20"/>
              <w:shd w:fill="auto" w:val="clear"/>
            </w:rPr>
            <w:t xml:space="preserve">     </w:t>
          </w:r>
          <w:hyperlink w:anchor="_heading=h.2qaqwz9hxhnd">
            <w:r>
              <w:rPr>
                <w:webHidden/>
                <w:rStyle w:val="Style5"/>
                <w:color w:val="000000"/>
                <w:sz w:val="20"/>
                <w:szCs w:val="20"/>
                <w:shd w:fill="auto" w:val="clear"/>
              </w:rPr>
              <w:t>2.1.1.</w:t>
            </w:r>
          </w:hyperlink>
          <w:hyperlink w:anchor="_heading=h.2qaqwz9hxhnd">
            <w:r>
              <w:rPr>
                <w:webHidden/>
                <w:rStyle w:val="Style5"/>
                <w:color w:val="000000"/>
                <w:sz w:val="22"/>
                <w:szCs w:val="22"/>
                <w:shd w:fill="auto" w:val="clear"/>
              </w:rPr>
              <w:tab/>
            </w:r>
          </w:hyperlink>
          <w:r>
            <w:rPr>
              <w:color w:val="000000"/>
              <w:sz w:val="20"/>
              <w:szCs w:val="20"/>
              <w:shd w:fill="auto" w:val="clear"/>
            </w:rPr>
            <w:t>Перечень и объем закупаемой продукции</w:t>
            <w:tab/>
            <w:t>3</w:t>
          </w:r>
        </w:p>
        <w:p>
          <w:pPr>
            <w:pStyle w:val="Normal"/>
            <w:pBdr/>
            <w:tabs>
              <w:tab w:val="clear" w:pos="720"/>
              <w:tab w:val="left" w:pos="567" w:leader="none"/>
              <w:tab w:val="right" w:pos="9911" w:leader="none"/>
            </w:tabs>
            <w:spacing w:before="120" w:after="0"/>
            <w:rPr/>
          </w:pPr>
          <w:hyperlink w:anchor="_heading=h.gmyqkk2jrcky">
            <w:r>
              <w:rPr>
                <w:webHidden/>
                <w:rStyle w:val="Style5"/>
                <w:b/>
                <w:bCs/>
                <w:color w:val="000000"/>
                <w:sz w:val="24"/>
                <w:szCs w:val="24"/>
                <w:shd w:fill="auto" w:val="clear"/>
              </w:rPr>
              <w:t>Таблица 1.1 Перечень и объем закупаемой продукции</w:t>
              <w:tab/>
              <w:t>3</w:t>
            </w:r>
          </w:hyperlink>
        </w:p>
        <w:p>
          <w:pPr>
            <w:pStyle w:val="Normal"/>
            <w:pBdr/>
            <w:tabs>
              <w:tab w:val="clear" w:pos="720"/>
              <w:tab w:val="left" w:pos="567" w:leader="none"/>
              <w:tab w:val="left" w:pos="1120" w:leader="none"/>
              <w:tab w:val="right" w:pos="9911" w:leader="none"/>
            </w:tabs>
            <w:ind w:left="280" w:hanging="0"/>
            <w:rPr/>
          </w:pPr>
          <w:r>
            <w:rPr>
              <w:color w:val="000000"/>
              <w:sz w:val="20"/>
              <w:szCs w:val="20"/>
              <w:shd w:fill="auto" w:val="clear"/>
            </w:rPr>
            <w:t xml:space="preserve">      </w:t>
          </w:r>
          <w:hyperlink w:anchor="_heading=h.df2kl3rfmc27">
            <w:r>
              <w:rPr>
                <w:webHidden/>
                <w:rStyle w:val="Style5"/>
                <w:color w:val="000000"/>
                <w:sz w:val="20"/>
                <w:szCs w:val="20"/>
                <w:shd w:fill="auto" w:val="clear"/>
              </w:rPr>
              <w:t>2.1.2.</w:t>
            </w:r>
          </w:hyperlink>
          <w:hyperlink w:anchor="_heading=h.df2kl3rfmc27">
            <w:r>
              <w:rPr>
                <w:webHidden/>
                <w:rStyle w:val="Style5"/>
                <w:color w:val="000000"/>
                <w:sz w:val="22"/>
                <w:szCs w:val="22"/>
                <w:shd w:fill="auto" w:val="clear"/>
              </w:rPr>
              <w:tab/>
            </w:r>
          </w:hyperlink>
          <w:r>
            <w:rPr>
              <w:color w:val="000000"/>
              <w:sz w:val="20"/>
              <w:szCs w:val="20"/>
              <w:shd w:fill="auto" w:val="clear"/>
            </w:rPr>
            <w:t>Требования к срокам поставки продукции и оказания сопутствующих услуг</w:t>
            <w:tab/>
            <w:t>3</w:t>
          </w:r>
        </w:p>
        <w:p>
          <w:pPr>
            <w:pStyle w:val="Normal"/>
            <w:pBdr/>
            <w:tabs>
              <w:tab w:val="clear" w:pos="720"/>
              <w:tab w:val="left" w:pos="567" w:leader="none"/>
              <w:tab w:val="right" w:pos="9911" w:leader="none"/>
            </w:tabs>
            <w:spacing w:before="120" w:after="0"/>
            <w:rPr/>
          </w:pPr>
          <w:hyperlink w:anchor="_heading=h.scbukkurpy89">
            <w:r>
              <w:rPr>
                <w:webHidden/>
                <w:rStyle w:val="Style5"/>
                <w:b/>
                <w:bCs/>
                <w:color w:val="000000"/>
                <w:sz w:val="24"/>
                <w:szCs w:val="24"/>
                <w:shd w:fill="auto" w:val="clear"/>
              </w:rPr>
              <w:t>Таблица 2.1 Требования по срокам поставки продукции</w:t>
              <w:tab/>
              <w:t>3</w:t>
            </w:r>
          </w:hyperlink>
        </w:p>
        <w:p>
          <w:pPr>
            <w:pStyle w:val="Normal"/>
            <w:pBdr/>
            <w:tabs>
              <w:tab w:val="clear" w:pos="720"/>
              <w:tab w:val="left" w:pos="567" w:leader="none"/>
              <w:tab w:val="left" w:pos="1120" w:leader="none"/>
              <w:tab w:val="right" w:pos="9911" w:leader="none"/>
            </w:tabs>
            <w:ind w:left="560" w:hanging="0"/>
            <w:rPr/>
          </w:pPr>
          <w:hyperlink w:anchor="_heading=h.ynqpkgdi5khw">
            <w:r>
              <w:rPr>
                <w:webHidden/>
                <w:rStyle w:val="Style5"/>
                <w:color w:val="000000"/>
                <w:sz w:val="20"/>
                <w:szCs w:val="20"/>
                <w:shd w:fill="auto" w:val="clear"/>
              </w:rPr>
              <w:t>2.2.</w:t>
            </w:r>
          </w:hyperlink>
          <w:hyperlink w:anchor="_heading=h.ynqpkgdi5khw">
            <w:r>
              <w:rPr>
                <w:webHidden/>
                <w:rStyle w:val="Style5"/>
                <w:color w:val="000000"/>
                <w:sz w:val="22"/>
                <w:szCs w:val="22"/>
                <w:shd w:fill="auto" w:val="clear"/>
              </w:rPr>
              <w:tab/>
            </w:r>
          </w:hyperlink>
          <w:r>
            <w:rPr>
              <w:color w:val="000000"/>
              <w:sz w:val="20"/>
              <w:szCs w:val="20"/>
              <w:shd w:fill="auto" w:val="clear"/>
            </w:rPr>
            <w:t>Требования к качеству продукции</w:t>
            <w:tab/>
            <w:t>4</w:t>
          </w:r>
        </w:p>
        <w:p>
          <w:pPr>
            <w:pStyle w:val="Normal"/>
            <w:pBdr/>
            <w:tabs>
              <w:tab w:val="clear" w:pos="720"/>
              <w:tab w:val="left" w:pos="567" w:leader="none"/>
              <w:tab w:val="right" w:pos="9911" w:leader="none"/>
            </w:tabs>
            <w:spacing w:before="120" w:after="0"/>
            <w:rPr/>
          </w:pPr>
          <w:hyperlink w:anchor="_heading=h.w58h10aesgwi">
            <w:r>
              <w:rPr>
                <w:webHidden/>
                <w:rStyle w:val="Style5"/>
                <w:b/>
                <w:bCs/>
                <w:color w:val="000000"/>
                <w:sz w:val="24"/>
                <w:szCs w:val="24"/>
                <w:shd w:fill="auto" w:val="clear"/>
              </w:rPr>
              <w:t>Таблица 3. Требования к продукции</w:t>
              <w:tab/>
              <w:t>4</w:t>
            </w:r>
          </w:hyperlink>
        </w:p>
        <w:p>
          <w:pPr>
            <w:pStyle w:val="Normal"/>
            <w:pBdr/>
            <w:tabs>
              <w:tab w:val="clear" w:pos="720"/>
              <w:tab w:val="left" w:pos="567" w:leader="none"/>
              <w:tab w:val="right" w:pos="9911" w:leader="none"/>
            </w:tabs>
            <w:spacing w:before="120" w:after="0"/>
            <w:rPr/>
          </w:pPr>
          <w:hyperlink w:anchor="_heading=h.d8fr3xet0h7o">
            <w:r>
              <w:rPr>
                <w:webHidden/>
                <w:rStyle w:val="Style5"/>
                <w:b/>
                <w:bCs/>
                <w:color w:val="000000"/>
                <w:sz w:val="24"/>
                <w:szCs w:val="24"/>
                <w:shd w:fill="auto" w:val="clear"/>
              </w:rPr>
              <w:t>3.</w:t>
            </w:r>
          </w:hyperlink>
          <w:hyperlink w:anchor="_heading=h.d8fr3xet0h7o">
            <w:r>
              <w:rPr>
                <w:webHidden/>
                <w:rStyle w:val="Style5"/>
                <w:color w:val="000000"/>
                <w:sz w:val="22"/>
                <w:szCs w:val="22"/>
                <w:shd w:fill="auto" w:val="clear"/>
              </w:rPr>
              <w:tab/>
            </w:r>
          </w:hyperlink>
          <w:r>
            <w:rPr>
              <w:b/>
              <w:bCs/>
              <w:color w:val="000000"/>
              <w:sz w:val="24"/>
              <w:szCs w:val="24"/>
              <w:shd w:fill="auto" w:val="clear"/>
            </w:rPr>
            <w:t>Требования к документации по ценообразованию на этапе закупки</w:t>
            <w:tab/>
            <w:t>6</w:t>
          </w:r>
          <w:r>
            <w:rPr>
              <w:sz w:val="24"/>
              <w:b/>
              <w:shd w:fill="auto" w:val="clear"/>
              <w:szCs w:val="24"/>
              <w:bCs/>
              <w:color w:val="000000"/>
            </w:rPr>
            <w:fldChar w:fldCharType="end"/>
          </w:r>
        </w:p>
      </w:sdtContent>
    </w:sdt>
    <w:p>
      <w:pPr>
        <w:pStyle w:val="Heading2"/>
        <w:tabs>
          <w:tab w:val="clear" w:pos="720"/>
          <w:tab w:val="left" w:pos="567" w:leader="none"/>
        </w:tabs>
        <w:ind w:left="0" w:hanging="0"/>
        <w:rPr>
          <w:b w:val="false"/>
          <w:bCs w:val="false"/>
          <w:i/>
          <w:i/>
          <w:iCs/>
          <w:highlight w:val="none"/>
          <w:shd w:fill="auto" w:val="clear"/>
        </w:rPr>
      </w:pPr>
      <w:r>
        <w:rPr>
          <w:b w:val="false"/>
          <w:bCs w:val="false"/>
          <w:i/>
          <w:iCs/>
          <w:shd w:fill="auto" w:val="clear"/>
        </w:rPr>
      </w:r>
      <w:r>
        <w:br w:type="page"/>
      </w:r>
    </w:p>
    <w:p>
      <w:pPr>
        <w:pStyle w:val="Heading1"/>
        <w:numPr>
          <w:ilvl w:val="0"/>
          <w:numId w:val="1"/>
        </w:numPr>
        <w:ind w:left="284" w:hanging="426"/>
        <w:jc w:val="center"/>
        <w:rPr>
          <w:highlight w:val="none"/>
          <w:shd w:fill="auto" w:val="clear"/>
        </w:rPr>
      </w:pPr>
      <w:bookmarkStart w:id="0" w:name="_heading=h.wyxgx5xfb6c"/>
      <w:bookmarkEnd w:id="0"/>
      <w:r>
        <w:rPr>
          <w:shd w:fill="auto" w:val="clear"/>
        </w:rPr>
        <w:t>Общие сведения</w:t>
      </w:r>
    </w:p>
    <w:p>
      <w:pPr>
        <w:pStyle w:val="Heading4"/>
        <w:numPr>
          <w:ilvl w:val="1"/>
          <w:numId w:val="1"/>
        </w:numPr>
        <w:ind w:left="426" w:hanging="426"/>
        <w:rPr>
          <w:highlight w:val="none"/>
          <w:shd w:fill="auto" w:val="clear"/>
        </w:rPr>
      </w:pPr>
      <w:bookmarkStart w:id="1" w:name="_heading=h.eh8s89v5x7mq"/>
      <w:bookmarkEnd w:id="1"/>
      <w:r>
        <w:rPr>
          <w:shd w:fill="auto" w:val="clear"/>
        </w:rPr>
        <w:t>Обозначения и сокращения</w:t>
      </w:r>
    </w:p>
    <w:tbl>
      <w:tblPr>
        <w:tblStyle w:val="a5"/>
        <w:tblW w:w="9783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00" w:noHBand="0" w:lastColumn="0" w:firstColumn="0" w:lastRow="0" w:firstRow="0"/>
      </w:tblPr>
      <w:tblGrid>
        <w:gridCol w:w="1785"/>
        <w:gridCol w:w="7997"/>
      </w:tblGrid>
      <w:tr>
        <w:trPr>
          <w:cantSplit w:val="true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PAM</w:t>
            </w:r>
          </w:p>
        </w:tc>
        <w:tc>
          <w:tcPr>
            <w:tcW w:w="7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Privileged Access Management</w:t>
            </w:r>
          </w:p>
        </w:tc>
      </w:tr>
      <w:tr>
        <w:trPr>
          <w:cantSplit w:val="true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AD</w:t>
            </w:r>
          </w:p>
        </w:tc>
        <w:tc>
          <w:tcPr>
            <w:tcW w:w="7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Active Directory</w:t>
            </w:r>
          </w:p>
        </w:tc>
      </w:tr>
      <w:tr>
        <w:trPr>
          <w:cantSplit w:val="true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2FA</w:t>
            </w:r>
          </w:p>
        </w:tc>
        <w:tc>
          <w:tcPr>
            <w:tcW w:w="7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Двухфакторная аутентификация</w:t>
            </w:r>
          </w:p>
        </w:tc>
      </w:tr>
      <w:tr>
        <w:trPr>
          <w:cantSplit w:val="true"/>
        </w:trPr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ТТ</w:t>
            </w:r>
          </w:p>
        </w:tc>
        <w:tc>
          <w:tcPr>
            <w:tcW w:w="7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Технические требования</w:t>
            </w:r>
          </w:p>
        </w:tc>
      </w:tr>
    </w:tbl>
    <w:p>
      <w:pPr>
        <w:pStyle w:val="Normal"/>
        <w:rPr>
          <w:highlight w:val="none"/>
          <w:shd w:fill="auto" w:val="clear"/>
        </w:rPr>
      </w:pPr>
      <w:r>
        <w:rPr>
          <w:shd w:fill="auto" w:val="clear"/>
        </w:rPr>
      </w:r>
    </w:p>
    <w:p>
      <w:pPr>
        <w:pStyle w:val="Heading4"/>
        <w:numPr>
          <w:ilvl w:val="1"/>
          <w:numId w:val="1"/>
        </w:numPr>
        <w:ind w:left="426" w:hanging="426"/>
        <w:rPr>
          <w:highlight w:val="none"/>
          <w:shd w:fill="auto" w:val="clear"/>
        </w:rPr>
      </w:pPr>
      <w:bookmarkStart w:id="2" w:name="_heading=h.w763ffl7qg56"/>
      <w:bookmarkEnd w:id="2"/>
      <w:r>
        <w:rPr>
          <w:shd w:fill="auto" w:val="clear"/>
        </w:rPr>
        <w:t>Наименование закупаемой продукции</w:t>
      </w:r>
    </w:p>
    <w:p>
      <w:pPr>
        <w:pStyle w:val="Normal"/>
        <w:widowControl w:val="false"/>
        <w:tabs>
          <w:tab w:val="clear" w:pos="720"/>
          <w:tab w:val="left" w:pos="426" w:leader="none"/>
        </w:tabs>
        <w:spacing w:before="120" w:after="240"/>
        <w:ind w:firstLine="426"/>
        <w:jc w:val="both"/>
        <w:rPr>
          <w:highlight w:val="none"/>
          <w:shd w:fill="auto" w:val="clear"/>
        </w:rPr>
      </w:pPr>
      <w:r>
        <w:rPr>
          <w:shd w:fill="auto" w:val="clear"/>
        </w:rPr>
        <w:t>Приобретение права использования программы для ЭВМ «Контур.ID», сервис «Контур.PAM» (Privileged Access Management), тарифный план «</w:t>
      </w:r>
      <w:r>
        <w:rPr>
          <w:shd w:fill="auto" w:val="clear"/>
          <w:lang w:val="ru-RU"/>
        </w:rPr>
        <w:t>Бессрочный</w:t>
      </w:r>
      <w:r>
        <w:rPr>
          <w:shd w:fill="auto" w:val="clear"/>
        </w:rPr>
        <w:t>» для десяти пользователей, а также услуг по сопровождению</w:t>
      </w:r>
      <w:r>
        <w:rPr>
          <w:shd w:fill="auto" w:val="clear"/>
          <w:lang w:val="ru-RU"/>
        </w:rPr>
        <w:t xml:space="preserve"> программы на 12 месяцев</w:t>
      </w:r>
      <w:r>
        <w:rPr>
          <w:shd w:fill="auto" w:val="clear"/>
        </w:rPr>
        <w:t>.</w:t>
      </w:r>
    </w:p>
    <w:p>
      <w:pPr>
        <w:pStyle w:val="Heading4"/>
        <w:numPr>
          <w:ilvl w:val="1"/>
          <w:numId w:val="1"/>
        </w:numPr>
        <w:ind w:left="426" w:hanging="426"/>
        <w:rPr>
          <w:highlight w:val="none"/>
          <w:shd w:fill="auto" w:val="clear"/>
        </w:rPr>
      </w:pPr>
      <w:bookmarkStart w:id="3" w:name="_heading=h.j997tgvaxcod"/>
      <w:bookmarkEnd w:id="3"/>
      <w:r>
        <w:rPr>
          <w:shd w:fill="auto" w:val="clear"/>
        </w:rPr>
        <w:t>Цель использования закупаемой продукции</w:t>
      </w:r>
    </w:p>
    <w:p>
      <w:pPr>
        <w:pStyle w:val="Normal"/>
        <w:widowControl w:val="false"/>
        <w:tabs>
          <w:tab w:val="clear" w:pos="720"/>
          <w:tab w:val="left" w:pos="426" w:leader="none"/>
        </w:tabs>
        <w:spacing w:before="120" w:after="120"/>
        <w:ind w:firstLine="425"/>
        <w:rPr>
          <w:highlight w:val="none"/>
          <w:shd w:fill="auto" w:val="clear"/>
        </w:rPr>
      </w:pPr>
      <w:r>
        <w:rPr>
          <w:shd w:fill="auto" w:val="clear"/>
        </w:rPr>
        <w:t>Основными целями создания Системы являются:</w:t>
      </w:r>
    </w:p>
    <w:p>
      <w:pPr>
        <w:pStyle w:val="Normal"/>
        <w:widowControl w:val="false"/>
        <w:tabs>
          <w:tab w:val="clear" w:pos="720"/>
          <w:tab w:val="left" w:pos="426" w:leader="none"/>
        </w:tabs>
        <w:spacing w:before="120" w:after="120"/>
        <w:ind w:firstLine="425"/>
        <w:rPr>
          <w:highlight w:val="none"/>
          <w:shd w:fill="auto" w:val="clear"/>
        </w:rPr>
      </w:pPr>
      <w:r>
        <w:rPr>
          <w:shd w:fill="auto" w:val="clear"/>
        </w:rPr>
        <w:t xml:space="preserve">• </w:t>
      </w:r>
      <w:r>
        <w:rPr>
          <w:shd w:fill="auto" w:val="clear"/>
        </w:rPr>
        <w:t>обеспечение контролируемого и безопасного удаленного доступа привилегированных пользователей к критически важным системам;</w:t>
      </w:r>
    </w:p>
    <w:p>
      <w:pPr>
        <w:pStyle w:val="Normal"/>
        <w:widowControl w:val="false"/>
        <w:tabs>
          <w:tab w:val="clear" w:pos="720"/>
          <w:tab w:val="left" w:pos="426" w:leader="none"/>
        </w:tabs>
        <w:spacing w:before="120" w:after="120"/>
        <w:ind w:firstLine="425"/>
        <w:rPr>
          <w:highlight w:val="none"/>
          <w:shd w:fill="auto" w:val="clear"/>
        </w:rPr>
      </w:pPr>
      <w:r>
        <w:rPr>
          <w:shd w:fill="auto" w:val="clear"/>
        </w:rPr>
        <w:t xml:space="preserve">• </w:t>
      </w:r>
      <w:r>
        <w:rPr>
          <w:shd w:fill="auto" w:val="clear"/>
        </w:rPr>
        <w:t>централизованный контроль, ограничение и журналирование действий привилегированных пользователей;</w:t>
      </w:r>
    </w:p>
    <w:p>
      <w:pPr>
        <w:pStyle w:val="Normal"/>
        <w:widowControl w:val="false"/>
        <w:tabs>
          <w:tab w:val="clear" w:pos="720"/>
          <w:tab w:val="left" w:pos="426" w:leader="none"/>
        </w:tabs>
        <w:spacing w:before="120" w:after="120"/>
        <w:ind w:firstLine="425"/>
        <w:rPr>
          <w:highlight w:val="none"/>
          <w:shd w:fill="auto" w:val="clear"/>
        </w:rPr>
      </w:pPr>
      <w:r>
        <w:rPr>
          <w:shd w:fill="auto" w:val="clear"/>
        </w:rPr>
        <w:t xml:space="preserve">• </w:t>
      </w:r>
      <w:r>
        <w:rPr>
          <w:shd w:fill="auto" w:val="clear"/>
        </w:rPr>
        <w:t>снижение рисков информационной безопасности при удаленном администрировании инфраструктуры Заказчика.</w:t>
      </w:r>
    </w:p>
    <w:p>
      <w:pPr>
        <w:pStyle w:val="Heading4"/>
        <w:numPr>
          <w:ilvl w:val="1"/>
          <w:numId w:val="1"/>
        </w:numPr>
        <w:ind w:left="426" w:hanging="426"/>
        <w:rPr>
          <w:highlight w:val="none"/>
          <w:shd w:fill="auto" w:val="clear"/>
        </w:rPr>
      </w:pPr>
      <w:r>
        <w:rPr>
          <w:shd w:fill="auto" w:val="clear"/>
        </w:rPr>
        <w:t>Существующее положение</w:t>
      </w:r>
    </w:p>
    <w:p>
      <w:pPr>
        <w:pStyle w:val="Normal"/>
        <w:widowControl w:val="false"/>
        <w:tabs>
          <w:tab w:val="clear" w:pos="720"/>
          <w:tab w:val="left" w:pos="426" w:leader="none"/>
        </w:tabs>
        <w:spacing w:before="120" w:after="120"/>
        <w:ind w:firstLine="425"/>
        <w:jc w:val="both"/>
        <w:rPr>
          <w:highlight w:val="none"/>
          <w:shd w:fill="auto" w:val="clear"/>
        </w:rPr>
      </w:pPr>
      <w:r>
        <w:rPr>
          <w:shd w:fill="auto" w:val="clear"/>
        </w:rPr>
        <w:t>Закупка осуществляется в целях обеспечения защищенного удаленного доступа привилегированных пользователей к информационным системам Заказчика, а также повышения контролируемости действий администраторов и иных пользователей с расширенными правами.</w:t>
      </w:r>
    </w:p>
    <w:p>
      <w:pPr>
        <w:pStyle w:val="Heading1"/>
        <w:numPr>
          <w:ilvl w:val="0"/>
          <w:numId w:val="1"/>
        </w:numPr>
        <w:ind w:left="284" w:hanging="426"/>
        <w:jc w:val="center"/>
        <w:rPr>
          <w:highlight w:val="none"/>
          <w:shd w:fill="auto" w:val="clear"/>
        </w:rPr>
      </w:pPr>
      <w:bookmarkStart w:id="4" w:name="_heading=h.ukkd2lbxjdp2"/>
      <w:bookmarkEnd w:id="4"/>
      <w:r>
        <w:rPr>
          <w:shd w:fill="auto" w:val="clear"/>
        </w:rPr>
        <w:t>Требования к продукции</w:t>
      </w:r>
    </w:p>
    <w:p>
      <w:pPr>
        <w:pStyle w:val="Heading4"/>
        <w:numPr>
          <w:ilvl w:val="1"/>
          <w:numId w:val="1"/>
        </w:numPr>
        <w:ind w:left="426" w:hanging="426"/>
        <w:rPr>
          <w:highlight w:val="none"/>
          <w:shd w:fill="auto" w:val="clear"/>
        </w:rPr>
      </w:pPr>
      <w:bookmarkStart w:id="5" w:name="_heading=h.s5ntmso4cdhg"/>
      <w:bookmarkEnd w:id="5"/>
      <w:r>
        <w:rPr>
          <w:shd w:fill="auto" w:val="clear"/>
        </w:rPr>
        <w:t>Требования к объемам и срокам поставки</w:t>
      </w:r>
    </w:p>
    <w:p>
      <w:pPr>
        <w:pStyle w:val="Heading3"/>
        <w:numPr>
          <w:ilvl w:val="2"/>
          <w:numId w:val="1"/>
        </w:numPr>
        <w:rPr>
          <w:highlight w:val="none"/>
          <w:shd w:fill="auto" w:val="clear"/>
        </w:rPr>
      </w:pPr>
      <w:bookmarkStart w:id="6" w:name="_heading=h.2qaqwz9hxhnd"/>
      <w:bookmarkEnd w:id="6"/>
      <w:r>
        <w:rPr>
          <w:shd w:fill="auto" w:val="clear"/>
        </w:rPr>
        <w:t>Перечень и объем закупаемой продукции</w:t>
      </w:r>
    </w:p>
    <w:p>
      <w:pPr>
        <w:pStyle w:val="Heading1"/>
        <w:rPr>
          <w:highlight w:val="none"/>
          <w:shd w:fill="auto" w:val="clear"/>
        </w:rPr>
      </w:pPr>
      <w:bookmarkStart w:id="7" w:name="_heading=h.gmyqkk2jrcky"/>
      <w:bookmarkEnd w:id="7"/>
      <w:r>
        <w:rPr>
          <w:sz w:val="24"/>
          <w:szCs w:val="24"/>
          <w:shd w:fill="auto" w:val="clear"/>
        </w:rPr>
        <w:t>Таблица 1.1 Перечень и объем закупаемой продукции</w:t>
      </w:r>
    </w:p>
    <w:tbl>
      <w:tblPr>
        <w:tblStyle w:val="a6"/>
        <w:tblW w:w="9668" w:type="dxa"/>
        <w:jc w:val="left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0" w:val="0000" w:noHBand="0" w:lastColumn="0" w:firstColumn="0" w:lastRow="0" w:firstRow="0"/>
      </w:tblPr>
      <w:tblGrid>
        <w:gridCol w:w="730"/>
        <w:gridCol w:w="4827"/>
        <w:gridCol w:w="1418"/>
        <w:gridCol w:w="1411"/>
        <w:gridCol w:w="1282"/>
      </w:tblGrid>
      <w:tr>
        <w:trPr>
          <w:tblHeader w:val="true"/>
          <w:trHeight w:val="322" w:hRule="atLeast"/>
        </w:trPr>
        <w:tc>
          <w:tcPr>
            <w:tcW w:w="7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№</w:t>
            </w:r>
          </w:p>
          <w:p>
            <w:pPr>
              <w:pStyle w:val="Normal"/>
              <w:keepNext w:val="true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п/п</w:t>
            </w:r>
          </w:p>
        </w:tc>
        <w:tc>
          <w:tcPr>
            <w:tcW w:w="48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Наименование продукции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Тип, марка</w:t>
            </w:r>
          </w:p>
        </w:tc>
        <w:tc>
          <w:tcPr>
            <w:tcW w:w="14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Единица измерения</w:t>
            </w:r>
          </w:p>
        </w:tc>
        <w:tc>
          <w:tcPr>
            <w:tcW w:w="12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keepNext w:val="true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Количество</w:t>
            </w:r>
          </w:p>
        </w:tc>
      </w:tr>
      <w:tr>
        <w:trPr>
          <w:tblHeader w:val="true"/>
          <w:trHeight w:val="370" w:hRule="atLeast"/>
        </w:trPr>
        <w:tc>
          <w:tcPr>
            <w:tcW w:w="73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4827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41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41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282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/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1</w:t>
            </w:r>
          </w:p>
        </w:tc>
        <w:tc>
          <w:tcPr>
            <w:tcW w:w="4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3</w:t>
            </w:r>
          </w:p>
        </w:tc>
        <w:tc>
          <w:tcPr>
            <w:tcW w:w="1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4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5</w:t>
            </w:r>
          </w:p>
        </w:tc>
      </w:tr>
      <w:tr>
        <w:trPr>
          <w:trHeight w:val="481" w:hRule="atLeast"/>
        </w:trPr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sdt>
              <w:sdtPr>
                <w:tag w:val="goog_rdk_0"/>
                <w:id w:val="-1513344538"/>
              </w:sdtPr>
              <w:sdtContent>
                <w:r>
                  <w:rPr>
                    <w:shd w:fill="auto" w:val="clear"/>
                  </w:rPr>
                </w:r>
                <w:r>
                  <w:rPr>
                    <w:shd w:fill="auto" w:val="clear"/>
                  </w:rPr>
                </w:r>
              </w:sdtContent>
            </w:sdt>
            <w:r>
              <w:rPr>
                <w:sz w:val="20"/>
                <w:szCs w:val="20"/>
                <w:shd w:fill="auto" w:val="clear"/>
              </w:rPr>
              <w:t>1.</w:t>
            </w:r>
          </w:p>
        </w:tc>
        <w:tc>
          <w:tcPr>
            <w:tcW w:w="4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Право использования программы для ЭВМ «Контур.ID» Сервис «Контур.PAM» по тарифному плану «Бессрочный» для 10 пользователей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-//-</w:t>
            </w:r>
          </w:p>
        </w:tc>
        <w:tc>
          <w:tcPr>
            <w:tcW w:w="1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  <w:lang w:val="ru-RU"/>
              </w:rPr>
              <w:t>шт.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1</w:t>
            </w:r>
          </w:p>
        </w:tc>
      </w:tr>
      <w:tr>
        <w:trPr>
          <w:trHeight w:val="481" w:hRule="atLeast"/>
        </w:trPr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2</w:t>
            </w:r>
            <w:r>
              <w:rPr>
                <w:sz w:val="20"/>
                <w:szCs w:val="20"/>
                <w:shd w:fill="auto" w:val="clear"/>
                <w:lang w:val="ru-RU"/>
              </w:rPr>
              <w:t>.</w:t>
            </w:r>
          </w:p>
        </w:tc>
        <w:tc>
          <w:tcPr>
            <w:tcW w:w="4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Право использования программы для ЭВМ «Контур.ID» Сервис Контур.PAM для одного дополнительного пользователя (модификатор к тарифному плану «Бессрочный»)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  <w:lang w:val="ru-RU"/>
              </w:rPr>
              <w:t>шт.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  <w:lang w:val="ru-RU"/>
              </w:rPr>
              <w:t>5</w:t>
            </w:r>
          </w:p>
        </w:tc>
      </w:tr>
      <w:tr>
        <w:trPr>
          <w:trHeight w:val="481" w:hRule="atLeast"/>
        </w:trPr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3</w:t>
            </w:r>
            <w:r>
              <w:rPr>
                <w:sz w:val="20"/>
                <w:szCs w:val="20"/>
                <w:shd w:fill="auto" w:val="clear"/>
                <w:lang w:val="ru-RU"/>
              </w:rPr>
              <w:t>.</w:t>
            </w:r>
          </w:p>
        </w:tc>
        <w:tc>
          <w:tcPr>
            <w:tcW w:w="4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Услуги по сопровождению программы для ЭВМ «Контур.ID» по тарифному плану «Бессрочный» (техническая поддержка в виде абонентского обслуживания для сервиса Контур.PAM, в том числе установка обновлений) сроком на 12 мес.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  <w:lang w:val="ru-RU"/>
              </w:rPr>
              <w:t>шт.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  <w:lang w:val="ru-RU"/>
              </w:rPr>
              <w:t>1</w:t>
            </w:r>
          </w:p>
        </w:tc>
      </w:tr>
      <w:tr>
        <w:trPr>
          <w:trHeight w:val="481" w:hRule="atLeast"/>
        </w:trPr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4</w:t>
            </w:r>
            <w:r>
              <w:rPr>
                <w:sz w:val="20"/>
                <w:szCs w:val="20"/>
                <w:shd w:fill="auto" w:val="clear"/>
                <w:lang w:val="ru-RU"/>
              </w:rPr>
              <w:t>.</w:t>
            </w:r>
          </w:p>
        </w:tc>
        <w:tc>
          <w:tcPr>
            <w:tcW w:w="4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Право использования программы для ЭВМ «Контур.ID» Сервис Контур.PAM по тарифному плану «Бессрочный» (годовой пакет обновлений)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  <w:lang w:val="ru-RU"/>
              </w:rPr>
              <w:t>шт.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  <w:lang w:val="ru-RU"/>
              </w:rPr>
              <w:t>1</w:t>
            </w:r>
          </w:p>
        </w:tc>
      </w:tr>
    </w:tbl>
    <w:p>
      <w:pPr>
        <w:pStyle w:val="Normal"/>
        <w:widowControl w:val="false"/>
        <w:tabs>
          <w:tab w:val="clear" w:pos="720"/>
          <w:tab w:val="left" w:pos="426" w:leader="none"/>
        </w:tabs>
        <w:spacing w:before="120" w:after="240"/>
        <w:ind w:firstLine="426"/>
        <w:jc w:val="both"/>
        <w:rPr>
          <w:i/>
          <w:i/>
          <w:iCs/>
          <w:highlight w:val="none"/>
          <w:shd w:fill="auto" w:val="clear"/>
        </w:rPr>
      </w:pPr>
      <w:r>
        <w:rPr>
          <w:i/>
          <w:iCs/>
          <w:shd w:fill="auto" w:val="clear"/>
        </w:rPr>
      </w:r>
    </w:p>
    <w:p>
      <w:pPr>
        <w:pStyle w:val="Heading3"/>
        <w:numPr>
          <w:ilvl w:val="2"/>
          <w:numId w:val="1"/>
        </w:numPr>
        <w:rPr>
          <w:highlight w:val="none"/>
          <w:shd w:fill="auto" w:val="clear"/>
        </w:rPr>
      </w:pPr>
      <w:bookmarkStart w:id="8" w:name="_heading=h.df2kl3rfmc27"/>
      <w:bookmarkEnd w:id="8"/>
      <w:r>
        <w:rPr>
          <w:shd w:fill="auto" w:val="clear"/>
        </w:rPr>
        <w:t>Требования к срокам поставки продукции и оказания сопутствующих услуг</w:t>
      </w:r>
    </w:p>
    <w:p>
      <w:pPr>
        <w:pStyle w:val="Heading1"/>
        <w:rPr>
          <w:highlight w:val="none"/>
          <w:shd w:fill="auto" w:val="clear"/>
        </w:rPr>
      </w:pPr>
      <w:bookmarkStart w:id="9" w:name="_heading=h.scbukkurpy89"/>
      <w:bookmarkEnd w:id="9"/>
      <w:r>
        <w:rPr>
          <w:sz w:val="24"/>
          <w:szCs w:val="24"/>
          <w:shd w:fill="auto" w:val="clear"/>
        </w:rPr>
        <w:t>Таблица 2.1 Требования по срокам поставки продукции</w:t>
      </w:r>
    </w:p>
    <w:tbl>
      <w:tblPr>
        <w:tblStyle w:val="a7"/>
        <w:tblW w:w="9639" w:type="dxa"/>
        <w:jc w:val="left"/>
        <w:tblInd w:w="13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00" w:noHBand="0" w:lastColumn="0" w:firstColumn="0" w:lastRow="0" w:firstRow="0"/>
      </w:tblPr>
      <w:tblGrid>
        <w:gridCol w:w="710"/>
        <w:gridCol w:w="3231"/>
        <w:gridCol w:w="3117"/>
        <w:gridCol w:w="2580"/>
      </w:tblGrid>
      <w:tr>
        <w:trPr>
          <w:tblHeader w:val="true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№</w:t>
            </w:r>
          </w:p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п/п</w:t>
            </w:r>
          </w:p>
        </w:tc>
        <w:tc>
          <w:tcPr>
            <w:tcW w:w="3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Наименование продукции / партии продукции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Требования к началу срока поставки продукции</w:t>
            </w:r>
          </w:p>
        </w:tc>
        <w:tc>
          <w:tcPr>
            <w:tcW w:w="2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Требования к окончанию срока поставки продукции</w:t>
            </w:r>
          </w:p>
        </w:tc>
      </w:tr>
      <w:tr>
        <w:trPr/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1</w:t>
            </w:r>
          </w:p>
        </w:tc>
        <w:tc>
          <w:tcPr>
            <w:tcW w:w="3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2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ind w:left="57" w:right="57" w:hanging="0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color w:val="000000"/>
                <w:sz w:val="20"/>
                <w:szCs w:val="20"/>
                <w:shd w:fill="auto" w:val="clear"/>
              </w:rPr>
              <w:t>3</w:t>
            </w:r>
          </w:p>
        </w:tc>
        <w:tc>
          <w:tcPr>
            <w:tcW w:w="2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ind w:left="57" w:right="57" w:hanging="0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color w:val="000000"/>
                <w:sz w:val="20"/>
                <w:szCs w:val="20"/>
                <w:shd w:fill="auto" w:val="clear"/>
              </w:rPr>
              <w:t>4</w:t>
            </w:r>
          </w:p>
        </w:tc>
      </w:tr>
      <w:tr>
        <w:trPr>
          <w:trHeight w:val="506" w:hRule="atLeast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sdt>
              <w:sdtPr>
                <w:tag w:val="goog_rdk_1"/>
                <w:id w:val="-1773454661"/>
              </w:sdtPr>
              <w:sdtContent>
                <w:r>
                  <w:rPr>
                    <w:shd w:fill="auto" w:val="clear"/>
                  </w:rPr>
                </w:r>
                <w:r>
                  <w:rPr>
                    <w:shd w:fill="auto" w:val="clear"/>
                  </w:rPr>
                </w:r>
              </w:sdtContent>
            </w:sdt>
            <w:sdt>
              <w:sdtPr>
                <w:tag w:val="goog_rdk_2"/>
                <w:id w:val="1358031947"/>
              </w:sdtPr>
              <w:sdtContent>
                <w:r>
                  <w:rPr>
                    <w:shd w:fill="auto" w:val="clear"/>
                  </w:rPr>
                </w:r>
                <w:r>
                  <w:rPr>
                    <w:shd w:fill="auto" w:val="clear"/>
                  </w:rPr>
                </w:r>
              </w:sdtContent>
            </w:sdt>
            <w:r>
              <w:rPr>
                <w:sz w:val="20"/>
                <w:szCs w:val="20"/>
                <w:shd w:fill="auto" w:val="clear"/>
              </w:rPr>
              <w:t>1.</w:t>
            </w:r>
          </w:p>
        </w:tc>
        <w:tc>
          <w:tcPr>
            <w:tcW w:w="3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Право использования программы для ЭВМ «Контур.ID» Сервис «Контур.PAM» по тарифному плану «Бессрочный» для 10 пользователей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  <w:lang w:val="ru-RU"/>
              </w:rPr>
              <w:t>В течение 5 календарных дней с</w:t>
            </w:r>
            <w:r>
              <w:rPr>
                <w:sz w:val="20"/>
                <w:szCs w:val="20"/>
                <w:shd w:fill="auto" w:val="clear"/>
              </w:rPr>
              <w:t xml:space="preserve"> даты подписания договора</w:t>
            </w:r>
          </w:p>
        </w:tc>
        <w:tc>
          <w:tcPr>
            <w:tcW w:w="2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20 календарных дней с даты подписания договора</w:t>
            </w:r>
          </w:p>
        </w:tc>
      </w:tr>
      <w:tr>
        <w:trPr>
          <w:trHeight w:val="506" w:hRule="atLeast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2</w:t>
            </w:r>
            <w:r>
              <w:rPr>
                <w:sz w:val="20"/>
                <w:szCs w:val="20"/>
                <w:shd w:fill="auto" w:val="clear"/>
                <w:lang w:val="ru-RU"/>
              </w:rPr>
              <w:t>.</w:t>
            </w:r>
          </w:p>
        </w:tc>
        <w:tc>
          <w:tcPr>
            <w:tcW w:w="3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Право использования программы для ЭВМ «Контур.ID» Сервис Контур.PAM для одного дополнительного пользователя (модификатор к тарифному плану «Бессрочный»)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  <w:lang w:val="ru-RU"/>
              </w:rPr>
              <w:t>В течение 5 календарных дней с</w:t>
            </w:r>
            <w:r>
              <w:rPr>
                <w:sz w:val="20"/>
                <w:szCs w:val="20"/>
                <w:shd w:fill="auto" w:val="clear"/>
              </w:rPr>
              <w:t xml:space="preserve"> даты подписания договора</w:t>
            </w:r>
          </w:p>
        </w:tc>
        <w:tc>
          <w:tcPr>
            <w:tcW w:w="2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20 календарных дней с даты подписания договора</w:t>
            </w:r>
          </w:p>
        </w:tc>
      </w:tr>
      <w:tr>
        <w:trPr>
          <w:trHeight w:val="506" w:hRule="atLeast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3</w:t>
            </w:r>
            <w:r>
              <w:rPr>
                <w:sz w:val="20"/>
                <w:szCs w:val="20"/>
                <w:shd w:fill="auto" w:val="clear"/>
                <w:lang w:val="ru-RU"/>
              </w:rPr>
              <w:t>.</w:t>
            </w:r>
          </w:p>
        </w:tc>
        <w:tc>
          <w:tcPr>
            <w:tcW w:w="3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Услуги по сопровождению программы для ЭВМ «Контур.ID» по тарифному плану «Бессрочный» (техническая поддержка в виде абонентского обслуживания для сервиса Контур.PAM, в том числе установка обновлений) сроком на 12 мес.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  <w:lang w:val="ru-RU"/>
              </w:rPr>
              <w:t>В течение 5 календарных дней с</w:t>
            </w:r>
            <w:r>
              <w:rPr>
                <w:sz w:val="20"/>
                <w:szCs w:val="20"/>
                <w:shd w:fill="auto" w:val="clear"/>
              </w:rPr>
              <w:t xml:space="preserve"> даты подписания договора</w:t>
            </w:r>
          </w:p>
        </w:tc>
        <w:tc>
          <w:tcPr>
            <w:tcW w:w="2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 xml:space="preserve">Через </w:t>
            </w:r>
            <w:r>
              <w:rPr>
                <w:sz w:val="20"/>
                <w:szCs w:val="20"/>
                <w:shd w:fill="auto" w:val="clear"/>
                <w:lang w:val="ru-RU"/>
              </w:rPr>
              <w:t>12</w:t>
            </w:r>
            <w:r>
              <w:rPr>
                <w:sz w:val="20"/>
                <w:szCs w:val="20"/>
                <w:shd w:fill="auto" w:val="clear"/>
              </w:rPr>
              <w:t xml:space="preserve"> месяц</w:t>
            </w:r>
            <w:r>
              <w:rPr>
                <w:sz w:val="20"/>
                <w:szCs w:val="20"/>
                <w:shd w:fill="auto" w:val="clear"/>
                <w:lang w:val="ru-RU"/>
              </w:rPr>
              <w:t>ев</w:t>
            </w:r>
            <w:r>
              <w:rPr>
                <w:sz w:val="20"/>
                <w:szCs w:val="20"/>
                <w:shd w:fill="auto" w:val="clear"/>
              </w:rPr>
              <w:t xml:space="preserve"> после начала срока </w:t>
            </w:r>
            <w:r>
              <w:rPr>
                <w:sz w:val="20"/>
                <w:szCs w:val="20"/>
                <w:shd w:fill="auto" w:val="clear"/>
                <w:lang w:val="ru-RU"/>
              </w:rPr>
              <w:t xml:space="preserve">предоставления доступа к </w:t>
            </w:r>
            <w:r>
              <w:rPr>
                <w:sz w:val="20"/>
                <w:szCs w:val="20"/>
                <w:shd w:fill="auto" w:val="clear"/>
              </w:rPr>
              <w:t>программ</w:t>
            </w:r>
            <w:r>
              <w:rPr>
                <w:sz w:val="20"/>
                <w:szCs w:val="20"/>
                <w:shd w:fill="auto" w:val="clear"/>
                <w:lang w:val="ru-RU"/>
              </w:rPr>
              <w:t>е</w:t>
            </w:r>
            <w:r>
              <w:rPr>
                <w:sz w:val="20"/>
                <w:szCs w:val="20"/>
                <w:shd w:fill="auto" w:val="clear"/>
              </w:rPr>
              <w:t xml:space="preserve"> для ЭВМ «Контур.ID» Сервис «Контур.PAM» по тарифному плану «Бессрочный»</w:t>
            </w:r>
          </w:p>
        </w:tc>
      </w:tr>
      <w:tr>
        <w:trPr>
          <w:trHeight w:val="506" w:hRule="atLeast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4</w:t>
            </w:r>
            <w:r>
              <w:rPr>
                <w:sz w:val="20"/>
                <w:szCs w:val="20"/>
                <w:shd w:fill="auto" w:val="clear"/>
                <w:lang w:val="ru-RU"/>
              </w:rPr>
              <w:t>.</w:t>
            </w:r>
          </w:p>
        </w:tc>
        <w:tc>
          <w:tcPr>
            <w:tcW w:w="3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Право использования программы для ЭВМ «Контур.ID» Сервис Контур.PAM по тарифному плану «Бессрочный» (годовой пакет обновлений)</w:t>
            </w:r>
          </w:p>
        </w:tc>
        <w:tc>
          <w:tcPr>
            <w:tcW w:w="3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  <w:lang w:val="ru-RU"/>
              </w:rPr>
              <w:t>В течение 5 календарных дней с</w:t>
            </w:r>
            <w:r>
              <w:rPr>
                <w:sz w:val="20"/>
                <w:szCs w:val="20"/>
                <w:shd w:fill="auto" w:val="clear"/>
              </w:rPr>
              <w:t xml:space="preserve"> даты подписания договора</w:t>
            </w:r>
          </w:p>
        </w:tc>
        <w:tc>
          <w:tcPr>
            <w:tcW w:w="2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20 календарных дней с даты подписания договора</w:t>
            </w:r>
          </w:p>
        </w:tc>
      </w:tr>
    </w:tbl>
    <w:p>
      <w:pPr>
        <w:sectPr>
          <w:headerReference w:type="even" r:id="rId2"/>
          <w:headerReference w:type="default" r:id="rId3"/>
          <w:type w:val="nextPage"/>
          <w:pgSz w:w="11906" w:h="16838"/>
          <w:pgMar w:left="1134" w:right="851" w:gutter="0" w:header="680" w:top="1134" w:footer="0" w:bottom="992"/>
          <w:pgNumType w:start="1" w:fmt="decimal"/>
          <w:formProt w:val="false"/>
          <w:titlePg/>
          <w:textDirection w:val="lrTb"/>
          <w:docGrid w:type="default" w:linePitch="100" w:charSpace="4294959103"/>
        </w:sectPr>
      </w:pPr>
    </w:p>
    <w:p>
      <w:pPr>
        <w:pStyle w:val="Heading4"/>
        <w:numPr>
          <w:ilvl w:val="1"/>
          <w:numId w:val="1"/>
        </w:numPr>
        <w:ind w:left="426" w:hanging="426"/>
        <w:rPr>
          <w:highlight w:val="none"/>
          <w:shd w:fill="auto" w:val="clear"/>
        </w:rPr>
      </w:pPr>
      <w:bookmarkStart w:id="10" w:name="_heading=h.ynqpkgdi5khw"/>
      <w:bookmarkEnd w:id="10"/>
      <w:r>
        <w:rPr>
          <w:shd w:fill="auto" w:val="clear"/>
        </w:rPr>
        <w:t>Требования к качеству продукции</w:t>
      </w:r>
    </w:p>
    <w:p>
      <w:pPr>
        <w:pStyle w:val="Heading1"/>
        <w:rPr>
          <w:highlight w:val="none"/>
          <w:shd w:fill="auto" w:val="clear"/>
        </w:rPr>
      </w:pPr>
      <w:bookmarkStart w:id="11" w:name="_heading=h.w58h10aesgwi"/>
      <w:bookmarkEnd w:id="11"/>
      <w:r>
        <w:rPr>
          <w:sz w:val="24"/>
          <w:szCs w:val="24"/>
          <w:shd w:fill="auto" w:val="clear"/>
        </w:rPr>
        <w:t xml:space="preserve">Таблица 3. Требования к продукции </w:t>
      </w:r>
    </w:p>
    <w:p>
      <w:pPr>
        <w:pStyle w:val="Normal"/>
        <w:jc w:val="both"/>
        <w:rPr>
          <w:highlight w:val="none"/>
          <w:shd w:fill="auto" w:val="clear"/>
        </w:rPr>
      </w:pPr>
      <w:r>
        <w:rPr>
          <w:shd w:fill="auto" w:val="clear"/>
        </w:rPr>
        <w:t>Наименование продукции (позиции №1- Таблицы 1.1): Все позиции Таблицы 1.1.</w:t>
      </w:r>
    </w:p>
    <w:tbl>
      <w:tblPr>
        <w:tblStyle w:val="a8"/>
        <w:tblW w:w="15309" w:type="dxa"/>
        <w:jc w:val="left"/>
        <w:tblInd w:w="-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00" w:noHBand="0" w:lastColumn="0" w:firstColumn="0" w:lastRow="0" w:firstRow="0"/>
      </w:tblPr>
      <w:tblGrid>
        <w:gridCol w:w="566"/>
        <w:gridCol w:w="2552"/>
        <w:gridCol w:w="4253"/>
        <w:gridCol w:w="2552"/>
        <w:gridCol w:w="2835"/>
        <w:gridCol w:w="2550"/>
      </w:tblGrid>
      <w:tr>
        <w:trPr/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 xml:space="preserve">№ </w:t>
            </w:r>
            <w:r>
              <w:rPr>
                <w:b/>
                <w:bCs/>
                <w:sz w:val="20"/>
                <w:szCs w:val="20"/>
                <w:shd w:fill="auto" w:val="clear"/>
              </w:rPr>
              <w:t>п/п</w:t>
            </w:r>
          </w:p>
        </w:tc>
        <w:tc>
          <w:tcPr>
            <w:tcW w:w="25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Наименование параметра</w:t>
            </w:r>
          </w:p>
        </w:tc>
        <w:tc>
          <w:tcPr>
            <w:tcW w:w="42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Требование заказчика</w:t>
            </w:r>
          </w:p>
        </w:tc>
        <w:tc>
          <w:tcPr>
            <w:tcW w:w="53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Способ подтверждения участником соответствия требованиям</w:t>
            </w:r>
          </w:p>
        </w:tc>
        <w:tc>
          <w:tcPr>
            <w:tcW w:w="25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Предложение участника по характеристикам и параметрам</w:t>
            </w:r>
          </w:p>
        </w:tc>
      </w:tr>
      <w:tr>
        <w:trPr/>
        <w:tc>
          <w:tcPr>
            <w:tcW w:w="566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552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425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Согласие с требованием/ указание характеристик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Предоставление подтверждающего документа или иной способ подтверждения</w:t>
            </w:r>
          </w:p>
        </w:tc>
        <w:tc>
          <w:tcPr>
            <w:tcW w:w="255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167" w:hRule="atLeast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2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4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5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6</w:t>
            </w:r>
          </w:p>
        </w:tc>
      </w:tr>
      <w:tr>
        <w:trPr/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0"/>
                <w:numId w:val="2"/>
              </w:numPr>
              <w:pBdr/>
              <w:ind w:left="0" w:hanging="0"/>
              <w:jc w:val="center"/>
              <w:rPr>
                <w:color w:val="000000"/>
                <w:sz w:val="20"/>
                <w:szCs w:val="20"/>
                <w:highlight w:val="none"/>
                <w:shd w:fill="auto" w:val="clear"/>
              </w:rPr>
            </w:pPr>
            <w:r>
              <w:rPr>
                <w:color w:val="000000"/>
                <w:sz w:val="20"/>
                <w:szCs w:val="20"/>
                <w:shd w:fill="auto" w:val="clear"/>
              </w:rPr>
            </w:r>
          </w:p>
        </w:tc>
        <w:tc>
          <w:tcPr>
            <w:tcW w:w="6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Требования к техническим и функциональным характеристикам (включая гарантируемые показатели)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</w:tr>
      <w:tr>
        <w:trPr/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1"/>
                <w:numId w:val="2"/>
              </w:numPr>
              <w:pBdr/>
              <w:ind w:left="0" w:hanging="0"/>
              <w:jc w:val="center"/>
              <w:rPr>
                <w:color w:val="000000"/>
                <w:sz w:val="20"/>
                <w:szCs w:val="20"/>
                <w:highlight w:val="none"/>
                <w:shd w:fill="auto" w:val="clear"/>
              </w:rPr>
            </w:pPr>
            <w:r>
              <w:rPr>
                <w:color w:val="000000"/>
                <w:sz w:val="20"/>
                <w:szCs w:val="20"/>
                <w:shd w:fill="auto" w:val="clear"/>
              </w:rPr>
            </w:r>
          </w:p>
        </w:tc>
        <w:tc>
          <w:tcPr>
            <w:tcW w:w="6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Продукция должна обеспечивать контролируемый удаленный доступ через RDP, webRDP, HTTP/S и SSH, синхронизацию с Active Directory, двухфакторную аутентификацию, журналирование действий и разграничение прав доступа.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Согласны с требованием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Согласны с требованием</w:t>
            </w:r>
          </w:p>
        </w:tc>
      </w:tr>
      <w:tr>
        <w:trPr/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0"/>
                <w:numId w:val="2"/>
              </w:numPr>
              <w:pBdr/>
              <w:ind w:left="0" w:hanging="0"/>
              <w:jc w:val="center"/>
              <w:rPr>
                <w:color w:val="000000"/>
                <w:sz w:val="20"/>
                <w:szCs w:val="20"/>
                <w:highlight w:val="none"/>
                <w:shd w:fill="auto" w:val="clear"/>
              </w:rPr>
            </w:pPr>
            <w:r>
              <w:rPr>
                <w:color w:val="000000"/>
                <w:sz w:val="20"/>
                <w:szCs w:val="20"/>
                <w:shd w:fill="auto" w:val="clear"/>
              </w:rPr>
            </w:r>
          </w:p>
        </w:tc>
        <w:tc>
          <w:tcPr>
            <w:tcW w:w="6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Требования к безопасности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</w:tr>
      <w:tr>
        <w:trPr/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1"/>
                <w:numId w:val="2"/>
              </w:numPr>
              <w:pBdr/>
              <w:ind w:left="0" w:hanging="0"/>
              <w:jc w:val="center"/>
              <w:rPr>
                <w:color w:val="000000"/>
                <w:sz w:val="20"/>
                <w:szCs w:val="20"/>
                <w:highlight w:val="none"/>
                <w:shd w:fill="auto" w:val="clear"/>
              </w:rPr>
            </w:pPr>
            <w:r>
              <w:rPr>
                <w:color w:val="000000"/>
                <w:sz w:val="20"/>
                <w:szCs w:val="20"/>
                <w:shd w:fill="auto" w:val="clear"/>
              </w:rPr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Требования безопасности информации и персонала при эксплуатации Продукции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Продукция должна обеспечивать безопасную аутентификацию пользователей, ограничение привилегированного доступа, журналирование действий и соответствовать требованиям технической документации изготовителя при эксплуатации.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Согласны с требованием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Согласны с требованием</w:t>
            </w:r>
          </w:p>
        </w:tc>
      </w:tr>
      <w:tr>
        <w:trPr/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0"/>
                <w:numId w:val="2"/>
              </w:numPr>
              <w:pBdr/>
              <w:ind w:left="0" w:hanging="0"/>
              <w:jc w:val="center"/>
              <w:rPr>
                <w:color w:val="000000"/>
                <w:sz w:val="20"/>
                <w:szCs w:val="20"/>
                <w:highlight w:val="none"/>
                <w:shd w:fill="auto" w:val="clear"/>
              </w:rPr>
            </w:pPr>
            <w:r>
              <w:rPr>
                <w:color w:val="000000"/>
                <w:sz w:val="20"/>
                <w:szCs w:val="20"/>
                <w:shd w:fill="auto" w:val="clear"/>
              </w:rPr>
            </w:r>
          </w:p>
        </w:tc>
        <w:tc>
          <w:tcPr>
            <w:tcW w:w="6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Требования к доставке, маркировке, упаковке, транспортировке, перемещению, условиям хранения, приемке и испытаниям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</w:tr>
      <w:tr>
        <w:trPr/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1"/>
                <w:numId w:val="2"/>
              </w:numPr>
              <w:pBdr/>
              <w:ind w:left="0" w:hanging="0"/>
              <w:jc w:val="center"/>
              <w:rPr>
                <w:color w:val="000000"/>
                <w:sz w:val="20"/>
                <w:szCs w:val="20"/>
                <w:highlight w:val="none"/>
                <w:shd w:fill="auto" w:val="clear"/>
              </w:rPr>
            </w:pPr>
            <w:r>
              <w:rPr>
                <w:color w:val="000000"/>
                <w:sz w:val="20"/>
                <w:szCs w:val="20"/>
                <w:shd w:fill="auto" w:val="clear"/>
              </w:rPr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Место поставки / оказания услуг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Место поставки программного продукта и оказания услуг: 677000, г. Якутск, пер. Энергетиков, д. 2, либо удаленно по согласованию сторон.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rPr>
                <w:highlight w:val="none"/>
                <w:shd w:fill="auto" w:val="clear"/>
              </w:rPr>
            </w:pPr>
            <w:r>
              <w:rPr>
                <w:i/>
                <w:iCs/>
                <w:color w:val="000000"/>
                <w:sz w:val="20"/>
                <w:szCs w:val="20"/>
                <w:shd w:fill="auto" w:val="clear"/>
              </w:rPr>
              <w:t>Согласны с требованием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Согласны с требованием</w:t>
            </w:r>
          </w:p>
        </w:tc>
      </w:tr>
      <w:tr>
        <w:trPr/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0"/>
                <w:numId w:val="2"/>
              </w:numPr>
              <w:pBdr/>
              <w:ind w:left="0" w:hanging="0"/>
              <w:jc w:val="center"/>
              <w:rPr>
                <w:color w:val="000000"/>
                <w:sz w:val="20"/>
                <w:szCs w:val="20"/>
                <w:highlight w:val="none"/>
                <w:shd w:fill="auto" w:val="clear"/>
              </w:rPr>
            </w:pPr>
            <w:r>
              <w:rPr>
                <w:color w:val="000000"/>
                <w:sz w:val="20"/>
                <w:szCs w:val="20"/>
                <w:shd w:fill="auto" w:val="clear"/>
              </w:rPr>
            </w:r>
          </w:p>
        </w:tc>
        <w:tc>
          <w:tcPr>
            <w:tcW w:w="6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Требования к гарантиям, гарантийному и послегарантийному обслуживанию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</w:tr>
      <w:tr>
        <w:trPr/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1"/>
                <w:numId w:val="2"/>
              </w:numPr>
              <w:pBdr/>
              <w:ind w:left="0" w:hanging="0"/>
              <w:jc w:val="center"/>
              <w:rPr>
                <w:color w:val="000000"/>
                <w:sz w:val="20"/>
                <w:szCs w:val="20"/>
                <w:highlight w:val="none"/>
                <w:shd w:fill="auto" w:val="clear"/>
              </w:rPr>
            </w:pPr>
            <w:r>
              <w:rPr>
                <w:color w:val="000000"/>
                <w:sz w:val="20"/>
                <w:szCs w:val="20"/>
                <w:shd w:fill="auto" w:val="clear"/>
              </w:rPr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Срок гарантии и технической поддержки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Гарантийный срок и право на техническую поддержку должны составлять не менее 1 (одного) года с момента передачи неисключительных прав на программное обеспечение. В течение указанного срока должны предоставляться консультации, обновления и новые версии программного продукта при их выходе.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Согласны с требованием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Согласны с требованием</w:t>
            </w:r>
          </w:p>
        </w:tc>
      </w:tr>
      <w:tr>
        <w:trPr/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0"/>
                <w:numId w:val="2"/>
              </w:numPr>
              <w:pBdr/>
              <w:ind w:left="0" w:hanging="0"/>
              <w:jc w:val="center"/>
              <w:rPr>
                <w:color w:val="000000"/>
                <w:sz w:val="20"/>
                <w:szCs w:val="20"/>
                <w:highlight w:val="none"/>
                <w:shd w:fill="auto" w:val="clear"/>
              </w:rPr>
            </w:pPr>
            <w:r>
              <w:rPr>
                <w:color w:val="000000"/>
                <w:sz w:val="20"/>
                <w:szCs w:val="20"/>
                <w:shd w:fill="auto" w:val="clear"/>
              </w:rPr>
            </w:r>
          </w:p>
        </w:tc>
        <w:tc>
          <w:tcPr>
            <w:tcW w:w="6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Требования к комплектации и документам, поставляемым вместе с продукцией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</w:tr>
      <w:tr>
        <w:trPr/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1"/>
                <w:numId w:val="2"/>
              </w:numPr>
              <w:pBdr/>
              <w:ind w:left="0" w:hanging="0"/>
              <w:jc w:val="center"/>
              <w:rPr>
                <w:color w:val="000000"/>
                <w:sz w:val="20"/>
                <w:szCs w:val="20"/>
                <w:highlight w:val="none"/>
                <w:shd w:fill="auto" w:val="clear"/>
              </w:rPr>
            </w:pPr>
            <w:r>
              <w:rPr>
                <w:color w:val="000000"/>
                <w:sz w:val="20"/>
                <w:szCs w:val="20"/>
                <w:shd w:fill="auto" w:val="clear"/>
              </w:rPr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Документы, передаваемые вместе с программным продуктом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Поставщик обязан одновременно с передачей прав и программного продукта передать Заказчику относящиеся к нему документы, оформленные надлежащим образом:</w:t>
              <w:br/>
              <w:t>документ, подтверждающий право использования;</w:t>
              <w:br/>
              <w:t>дистрибутив версии PAM;</w:t>
              <w:br/>
              <w:t>эксплуатационную документацию на русском языке;</w:t>
              <w:br/>
              <w:t>документацию по установке, настройке и администрированию;</w:t>
              <w:br/>
              <w:t>акт(ы) оказанных услуг и иные закрывающие документы.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Согласны с требованием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Согласны с требованием</w:t>
            </w:r>
          </w:p>
        </w:tc>
      </w:tr>
      <w:tr>
        <w:trPr/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0"/>
                <w:numId w:val="2"/>
              </w:numPr>
              <w:pBdr/>
              <w:ind w:left="0" w:hanging="0"/>
              <w:jc w:val="center"/>
              <w:rPr>
                <w:color w:val="000000"/>
                <w:sz w:val="20"/>
                <w:szCs w:val="20"/>
                <w:highlight w:val="none"/>
                <w:shd w:fill="auto" w:val="clear"/>
              </w:rPr>
            </w:pPr>
            <w:r>
              <w:rPr>
                <w:color w:val="000000"/>
                <w:sz w:val="20"/>
                <w:szCs w:val="20"/>
                <w:shd w:fill="auto" w:val="clear"/>
              </w:rPr>
            </w:r>
          </w:p>
        </w:tc>
        <w:tc>
          <w:tcPr>
            <w:tcW w:w="6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Требования к обязательствам Поставщика, влияющим на исполнение договора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-//-</w:t>
            </w:r>
          </w:p>
        </w:tc>
      </w:tr>
      <w:tr>
        <w:trPr/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1"/>
                <w:numId w:val="2"/>
              </w:numPr>
              <w:pBdr/>
              <w:ind w:left="0" w:hanging="0"/>
              <w:jc w:val="center"/>
              <w:rPr>
                <w:color w:val="000000"/>
                <w:sz w:val="20"/>
                <w:szCs w:val="20"/>
                <w:highlight w:val="none"/>
                <w:shd w:fill="auto" w:val="clear"/>
              </w:rPr>
            </w:pPr>
            <w:r>
              <w:rPr>
                <w:color w:val="000000"/>
                <w:sz w:val="20"/>
                <w:szCs w:val="20"/>
                <w:shd w:fill="auto" w:val="clear"/>
              </w:rPr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Требования к передаваемой вместе с Продукцией документации и обязательствам Поставщика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В документации и материалах, передаваемых вместе с Продукцией, должна содержаться следующая информация:</w:t>
              <w:br/>
              <w:t>наименование Поставщика;</w:t>
              <w:br/>
              <w:t>контакты технической поддержки;</w:t>
              <w:br/>
              <w:t>гарантийные обязательства Поставщика;</w:t>
              <w:br/>
              <w:t>номер и дата договора, на основании которого осуществляется поставка прав и оказание услуг;</w:t>
              <w:br/>
              <w:t>наименование, юридический и почтовый адреса и телефоны субъекта, которому необходимо направлять обращения и рекламации;</w:t>
              <w:br/>
              <w:t>описание порядка обновления и сопровождения программного продукта.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Согласны с требованием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Согласны с требованием</w:t>
            </w:r>
          </w:p>
        </w:tc>
      </w:tr>
      <w:tr>
        <w:trPr/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numPr>
                <w:ilvl w:val="1"/>
                <w:numId w:val="2"/>
              </w:numPr>
              <w:pBdr/>
              <w:ind w:left="0" w:hanging="0"/>
              <w:jc w:val="center"/>
              <w:rPr>
                <w:color w:val="000000"/>
                <w:sz w:val="20"/>
                <w:szCs w:val="20"/>
                <w:highlight w:val="none"/>
                <w:shd w:fill="auto" w:val="clear"/>
              </w:rPr>
            </w:pPr>
            <w:r>
              <w:rPr>
                <w:color w:val="000000"/>
                <w:sz w:val="20"/>
                <w:szCs w:val="20"/>
                <w:shd w:fill="auto" w:val="clear"/>
              </w:rPr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Иные требования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 xml:space="preserve">Поставщик своими силами осуществляет передачу прав, поставку программного продукта, </w:t>
            </w:r>
            <w:r>
              <w:rPr>
                <w:sz w:val="20"/>
                <w:szCs w:val="20"/>
                <w:shd w:fill="auto" w:val="clear"/>
                <w:lang w:val="ru-RU"/>
              </w:rPr>
              <w:t>оказание</w:t>
            </w:r>
            <w:r>
              <w:rPr>
                <w:sz w:val="20"/>
                <w:szCs w:val="20"/>
                <w:shd w:fill="auto" w:val="clear"/>
              </w:rPr>
              <w:t xml:space="preserve"> </w:t>
            </w:r>
            <w:r>
              <w:rPr>
                <w:sz w:val="20"/>
                <w:szCs w:val="20"/>
                <w:shd w:fill="auto" w:val="clear"/>
                <w:lang w:val="ru-RU"/>
              </w:rPr>
              <w:t>у</w:t>
            </w:r>
            <w:r>
              <w:rPr>
                <w:sz w:val="20"/>
                <w:szCs w:val="20"/>
                <w:shd w:fill="auto" w:val="clear"/>
              </w:rPr>
              <w:t>слуг по сопровождению программы. Стоимость должна включать все сопутствующие расходы, налоги и иные обязательные платежи.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Согласны с требованием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i/>
                <w:iCs/>
                <w:sz w:val="20"/>
                <w:szCs w:val="20"/>
                <w:shd w:fill="auto" w:val="clear"/>
              </w:rPr>
              <w:t>Согласны с требованием</w:t>
            </w:r>
          </w:p>
        </w:tc>
      </w:tr>
    </w:tbl>
    <w:p>
      <w:pPr>
        <w:sectPr>
          <w:headerReference w:type="default" r:id="rId4"/>
          <w:headerReference w:type="first" r:id="rId5"/>
          <w:type w:val="nextPage"/>
          <w:pgSz w:orient="landscape" w:w="16838" w:h="11906"/>
          <w:pgMar w:left="992" w:right="567" w:gutter="0" w:header="680" w:top="851" w:footer="0" w:bottom="851"/>
          <w:pgNumType w:fmt="decimal"/>
          <w:formProt w:val="false"/>
          <w:titlePg/>
          <w:textDirection w:val="lrTb"/>
          <w:docGrid w:type="default" w:linePitch="100" w:charSpace="4294959103"/>
        </w:sectPr>
      </w:pPr>
    </w:p>
    <w:p>
      <w:pPr>
        <w:pStyle w:val="Heading1"/>
        <w:numPr>
          <w:ilvl w:val="0"/>
          <w:numId w:val="1"/>
        </w:numPr>
        <w:ind w:left="426" w:hanging="426"/>
        <w:jc w:val="center"/>
        <w:rPr>
          <w:highlight w:val="none"/>
          <w:shd w:fill="auto" w:val="clear"/>
        </w:rPr>
      </w:pPr>
      <w:bookmarkStart w:id="12" w:name="_heading=h.d8fr3xet0h7o"/>
      <w:bookmarkEnd w:id="12"/>
      <w:r>
        <w:rPr>
          <w:shd w:fill="auto" w:val="clear"/>
        </w:rPr>
        <w:t>Требования к документации по ценообразованию на этапе закупки</w:t>
      </w:r>
    </w:p>
    <w:p>
      <w:pPr>
        <w:pStyle w:val="Normal"/>
        <w:numPr>
          <w:ilvl w:val="1"/>
          <w:numId w:val="3"/>
        </w:numPr>
        <w:tabs>
          <w:tab w:val="clear" w:pos="720"/>
          <w:tab w:val="left" w:pos="1134" w:leader="none"/>
        </w:tabs>
        <w:spacing w:before="0" w:after="120"/>
        <w:ind w:left="0" w:firstLine="426"/>
        <w:jc w:val="both"/>
        <w:rPr>
          <w:highlight w:val="none"/>
          <w:shd w:fill="auto" w:val="clear"/>
        </w:rPr>
      </w:pPr>
      <w:bookmarkStart w:id="13" w:name="_heading=h.ixkqzbozgfz2"/>
      <w:bookmarkEnd w:id="13"/>
      <w:r>
        <w:rPr>
          <w:i/>
          <w:iCs/>
          <w:sz w:val="24"/>
          <w:szCs w:val="24"/>
          <w:shd w:fill="auto" w:val="clear"/>
        </w:rPr>
        <w:t>В обоснование стоимости своей заявки Участник предоставляет Коммерческое предложение по форме (с учетом прилагаемой к ней инструкции по заполнению), приведенной в Документации о закупке.</w:t>
      </w:r>
    </w:p>
    <w:p>
      <w:pPr>
        <w:pStyle w:val="Normal"/>
        <w:numPr>
          <w:ilvl w:val="1"/>
          <w:numId w:val="3"/>
        </w:numPr>
        <w:tabs>
          <w:tab w:val="clear" w:pos="720"/>
          <w:tab w:val="left" w:pos="1134" w:leader="none"/>
        </w:tabs>
        <w:spacing w:before="0" w:after="120"/>
        <w:ind w:left="0" w:firstLine="426"/>
        <w:jc w:val="both"/>
        <w:rPr>
          <w:highlight w:val="none"/>
          <w:shd w:fill="auto" w:val="clear"/>
        </w:rPr>
      </w:pPr>
      <w:bookmarkStart w:id="14" w:name="_heading=h.7pdg6mcg91x6"/>
      <w:bookmarkEnd w:id="14"/>
      <w:r>
        <w:rPr>
          <w:i/>
          <w:iCs/>
          <w:sz w:val="24"/>
          <w:szCs w:val="24"/>
          <w:shd w:fill="auto" w:val="clear"/>
        </w:rPr>
        <w:t>Дополнительные документы по ценообразованию в состав заявки не включаются.</w:t>
      </w:r>
    </w:p>
    <w:p>
      <w:pPr>
        <w:pStyle w:val="Normal"/>
        <w:rPr>
          <w:i/>
          <w:i/>
          <w:iCs/>
          <w:sz w:val="24"/>
          <w:szCs w:val="24"/>
          <w:highlight w:val="none"/>
          <w:shd w:fill="auto" w:val="clear"/>
        </w:rPr>
      </w:pPr>
      <w:r>
        <w:rPr>
          <w:i/>
          <w:iCs/>
          <w:sz w:val="24"/>
          <w:szCs w:val="24"/>
          <w:shd w:fill="auto" w:val="clear"/>
        </w:rPr>
      </w:r>
      <w:r>
        <w:br w:type="page"/>
      </w:r>
    </w:p>
    <w:p>
      <w:pPr>
        <w:pStyle w:val="Normal"/>
        <w:spacing w:before="0" w:after="120"/>
        <w:jc w:val="right"/>
        <w:rPr>
          <w:highlight w:val="none"/>
          <w:shd w:fill="auto" w:val="clear"/>
        </w:rPr>
      </w:pPr>
      <w:bookmarkStart w:id="15" w:name="_heading=h.uxxk5bo2mlfa"/>
      <w:bookmarkEnd w:id="15"/>
      <w:r>
        <w:rPr>
          <w:sz w:val="24"/>
          <w:szCs w:val="24"/>
          <w:shd w:fill="auto" w:val="clear"/>
        </w:rPr>
        <w:t>Приложение №1 к Техническим требованиям</w:t>
      </w:r>
    </w:p>
    <w:p>
      <w:pPr>
        <w:pStyle w:val="Normal"/>
        <w:pBdr/>
        <w:spacing w:lineRule="auto" w:line="276"/>
        <w:ind w:left="1080" w:hanging="0"/>
        <w:jc w:val="center"/>
        <w:rPr>
          <w:highlight w:val="none"/>
          <w:shd w:fill="auto" w:val="clear"/>
        </w:rPr>
      </w:pPr>
      <w:r>
        <w:rPr>
          <w:color w:val="000000"/>
          <w:sz w:val="24"/>
          <w:szCs w:val="24"/>
          <w:shd w:fill="auto" w:val="clear"/>
        </w:rPr>
        <w:t>Требования к функциям и составу системы контролируемого удаленного доступа привилегированных пользователей (Контур.PAM)</w:t>
      </w:r>
    </w:p>
    <w:p>
      <w:pPr>
        <w:pStyle w:val="Normal"/>
        <w:pBdr/>
        <w:spacing w:lineRule="auto" w:line="276" w:before="0" w:after="200"/>
        <w:ind w:left="1080" w:hanging="0"/>
        <w:jc w:val="center"/>
        <w:rPr>
          <w:b/>
          <w:bCs/>
          <w:color w:val="000000"/>
          <w:sz w:val="24"/>
          <w:szCs w:val="24"/>
          <w:highlight w:val="none"/>
          <w:shd w:fill="auto" w:val="clear"/>
        </w:rPr>
      </w:pPr>
      <w:r>
        <w:rPr>
          <w:b/>
          <w:bCs/>
          <w:color w:val="000000"/>
          <w:sz w:val="24"/>
          <w:szCs w:val="24"/>
          <w:shd w:fill="auto" w:val="clear"/>
        </w:rPr>
      </w:r>
      <w:bookmarkStart w:id="16" w:name="_heading=h.z1dyxhaqrtwz"/>
      <w:bookmarkStart w:id="17" w:name="_heading=h.z1dyxhaqrtwz"/>
      <w:bookmarkEnd w:id="17"/>
    </w:p>
    <w:tbl>
      <w:tblPr>
        <w:tblStyle w:val="a9"/>
        <w:tblW w:w="15168" w:type="dxa"/>
        <w:jc w:val="left"/>
        <w:tblInd w:w="-34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00" w:noHBand="0" w:lastColumn="0" w:firstColumn="0" w:lastRow="0" w:firstRow="0"/>
      </w:tblPr>
      <w:tblGrid>
        <w:gridCol w:w="849"/>
        <w:gridCol w:w="7657"/>
        <w:gridCol w:w="2125"/>
        <w:gridCol w:w="2439"/>
        <w:gridCol w:w="2098"/>
      </w:tblGrid>
      <w:tr>
        <w:trPr>
          <w:trHeight w:val="502" w:hRule="atLeast"/>
        </w:trPr>
        <w:tc>
          <w:tcPr>
            <w:tcW w:w="8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 xml:space="preserve">№ </w:t>
            </w:r>
            <w:r>
              <w:rPr>
                <w:b/>
                <w:bCs/>
                <w:sz w:val="20"/>
                <w:szCs w:val="20"/>
                <w:shd w:fill="auto" w:val="clear"/>
              </w:rPr>
              <w:t>п/п </w:t>
            </w:r>
          </w:p>
        </w:tc>
        <w:tc>
          <w:tcPr>
            <w:tcW w:w="9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Требования заказчика</w:t>
            </w:r>
          </w:p>
        </w:tc>
        <w:tc>
          <w:tcPr>
            <w:tcW w:w="45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ind w:left="-108" w:right="-108" w:hanging="0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Предложения участника</w:t>
            </w:r>
          </w:p>
        </w:tc>
      </w:tr>
      <w:tr>
        <w:trPr>
          <w:trHeight w:val="57" w:hRule="atLeast"/>
        </w:trPr>
        <w:tc>
          <w:tcPr>
            <w:tcW w:w="84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spacing w:lineRule="auto" w:line="276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Наименование продукции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Параметр</w:t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ind w:left="-108" w:right="-108" w:hanging="0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Способ подтверждения</w:t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ind w:left="-108" w:right="-108" w:hanging="0"/>
              <w:jc w:val="center"/>
              <w:rPr>
                <w:highlight w:val="none"/>
                <w:shd w:fill="auto" w:val="clear"/>
              </w:rPr>
            </w:pPr>
            <w:r>
              <w:rPr>
                <w:b/>
                <w:bCs/>
                <w:sz w:val="20"/>
                <w:szCs w:val="20"/>
                <w:shd w:fill="auto" w:val="clear"/>
              </w:rPr>
              <w:t>Предложение Участника по характеристикам и параметрам</w:t>
            </w:r>
          </w:p>
        </w:tc>
      </w:tr>
      <w:tr>
        <w:trPr>
          <w:trHeight w:val="57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1</w:t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Автоматизированная система контролируемого удаленного доступа привилегированных пользователей «Контур.PAM», версия on-premise (изолированный вариант)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Указание наименования и состава продукции</w:t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57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1.1.</w:t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Область применения / назначение системы: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57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В настоящем документе описаны исходные требования к системе, предназначенной для обеспечения контролируемого удаленного доступа привилегированных пользователей (далее – Система).</w:t>
              <w:br/>
              <w:t>Система предназначена для контроля и ограничения доступа к критически важным системам Заказчика через RDP/webRDP (Windows), HTTP/S (web) и SSH (Linux), а также для журналирования и последующего анализа действий пользователей с повышенными правами.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Соответствие</w:t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Согласие с требованием*</w:t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Соответствие</w:t>
            </w:r>
          </w:p>
        </w:tc>
      </w:tr>
      <w:tr>
        <w:trPr>
          <w:trHeight w:val="57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1.2.</w:t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Цели создания системы: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57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Система создается в следующих целях:</w:t>
              <w:br/>
              <w:t>- обеспечение безопасного и контролируемого удаленного доступа привилегированных пользователей;</w:t>
              <w:br/>
              <w:t>- снижение рисков информационной безопасности при удаленном администрировании инфраструктуры Заказчика;</w:t>
              <w:br/>
              <w:t>- обеспечение прослеживаемости действий пользователей с повышенными правами и возможности последующего анализа инцидентов.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Наличие</w:t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Соответствие</w:t>
            </w:r>
          </w:p>
        </w:tc>
      </w:tr>
      <w:tr>
        <w:trPr>
          <w:trHeight w:val="94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1.3.</w:t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Задачи системы: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465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В ходе реализации должны быть решены следующие задачи:</w:t>
              <w:br/>
              <w:t>- организация контролируемого доступа через RDP, webRDP, HTTP/S и SSH;</w:t>
              <w:br/>
              <w:t>- синхронизация пользователей Active Directory и проверка учетных данных;</w:t>
              <w:br/>
              <w:t>- настройка политик доступа для различных групп пользователей;</w:t>
              <w:br/>
              <w:t xml:space="preserve">- организация журналирования действий в текстовом и видеоформате, а также направления </w:t>
            </w:r>
            <w:sdt>
              <w:sdtPr>
                <w:tag w:val="goog_rdk_3"/>
                <w:id w:val="1557054984"/>
              </w:sdtPr>
              <w:sdtContent>
                <w:r>
                  <w:rPr>
                    <w:sz w:val="20"/>
                    <w:szCs w:val="20"/>
                    <w:shd w:fill="auto" w:val="clear"/>
                  </w:rPr>
                </w:r>
                <w:r>
                  <w:rPr>
                    <w:sz w:val="20"/>
                    <w:szCs w:val="20"/>
                    <w:shd w:fill="auto" w:val="clear"/>
                  </w:rPr>
                </w:r>
              </w:sdtContent>
            </w:sdt>
            <w:r>
              <w:rPr>
                <w:sz w:val="20"/>
                <w:szCs w:val="20"/>
                <w:shd w:fill="auto" w:val="clear"/>
              </w:rPr>
              <w:t>событий из журнала событий на Syslog-сервер;</w:t>
              <w:br/>
              <w:t xml:space="preserve">- внедрение </w:t>
            </w:r>
            <w:sdt>
              <w:sdtPr>
                <w:tag w:val="goog_rdk_4"/>
                <w:id w:val="-115631290"/>
              </w:sdtPr>
              <w:sdtContent>
                <w:r>
                  <w:rPr>
                    <w:sz w:val="20"/>
                    <w:szCs w:val="20"/>
                    <w:shd w:fill="auto" w:val="clear"/>
                  </w:rPr>
                </w:r>
                <w:r>
                  <w:rPr>
                    <w:sz w:val="20"/>
                    <w:szCs w:val="20"/>
                    <w:shd w:fill="auto" w:val="clear"/>
                  </w:rPr>
                </w:r>
              </w:sdtContent>
            </w:sdt>
            <w:r>
              <w:rPr>
                <w:sz w:val="20"/>
                <w:szCs w:val="20"/>
                <w:shd w:fill="auto" w:val="clear"/>
              </w:rPr>
              <w:t>встроенной двухфакторной аутентификации</w:t>
            </w:r>
            <w:r>
              <w:rPr>
                <w:shd w:fill="auto" w:val="clear"/>
              </w:rPr>
              <w:t xml:space="preserve"> </w:t>
            </w:r>
            <w:r>
              <w:rPr>
                <w:sz w:val="20"/>
                <w:szCs w:val="20"/>
                <w:shd w:fill="auto" w:val="clear"/>
              </w:rPr>
              <w:t>Контур.ID и административного управления доступом через личный кабинет.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Наличие</w:t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Соответствие</w:t>
            </w:r>
          </w:p>
        </w:tc>
      </w:tr>
      <w:tr>
        <w:trPr>
          <w:trHeight w:val="202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1.4.</w:t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Общие требования к продукту: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465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Система должна соответствовать следующим общим требованиям:</w:t>
              <w:br/>
              <w:t>- предоставляться в варианте on-premise (изолированный вариант) в виде распределенной системы на трех нодах;</w:t>
              <w:br/>
              <w:t>- обеспечивать работу с инфраструктурой Заказчика и интеграцию с Active Directory;</w:t>
              <w:br/>
              <w:t>- поддерживать работу компонентов на Linux и Windows Server в соответствии с технической документацией изготовителя;</w:t>
              <w:br/>
            </w:r>
            <w:sdt>
              <w:sdtPr>
                <w:tag w:val="goog_rdk_5"/>
                <w:id w:val="-1314992827"/>
              </w:sdtPr>
              <w:sdtContent>
                <w:r>
                  <w:rPr>
                    <w:sz w:val="20"/>
                    <w:szCs w:val="20"/>
                    <w:shd w:fill="auto" w:val="clear"/>
                  </w:rPr>
                </w:r>
                <w:r>
                  <w:rPr>
                    <w:sz w:val="20"/>
                    <w:szCs w:val="20"/>
                    <w:shd w:fill="auto" w:val="clear"/>
                  </w:rPr>
                </w:r>
              </w:sdtContent>
            </w:sdt>
            <w:r>
              <w:rPr>
                <w:sz w:val="20"/>
                <w:szCs w:val="20"/>
                <w:shd w:fill="auto" w:val="clear"/>
              </w:rPr>
              <w:t>- поддерживать эксплуатацию для не менее чем 10 привилегированных пользователей с возможностью переустановки лицензии с одного пользователя на другого;</w:t>
              <w:br/>
              <w:t xml:space="preserve">- поддерживать разграничение прав доступа, управление через личный кабинет администратора и безопасный доступ для пользователей </w:t>
            </w:r>
            <w:sdt>
              <w:sdtPr>
                <w:tag w:val="goog_rdk_6"/>
                <w:id w:val="-551015781"/>
              </w:sdtPr>
              <w:sdtContent>
                <w:r>
                  <w:rPr>
                    <w:sz w:val="20"/>
                    <w:szCs w:val="20"/>
                    <w:shd w:fill="auto" w:val="clear"/>
                  </w:rPr>
                </w:r>
                <w:r>
                  <w:rPr>
                    <w:sz w:val="20"/>
                    <w:szCs w:val="20"/>
                    <w:shd w:fill="auto" w:val="clear"/>
                  </w:rPr>
                </w:r>
              </w:sdtContent>
            </w:sdt>
            <w:r>
              <w:rPr>
                <w:sz w:val="20"/>
                <w:szCs w:val="20"/>
                <w:shd w:fill="auto" w:val="clear"/>
              </w:rPr>
              <w:t>вне домена</w:t>
            </w:r>
            <w:r>
              <w:rPr>
                <w:sz w:val="20"/>
                <w:szCs w:val="20"/>
                <w:shd w:fill="auto" w:val="clear"/>
                <w:lang w:val="ru-RU"/>
              </w:rPr>
              <w:t xml:space="preserve"> для подключения по протоколу SSH</w:t>
            </w:r>
            <w:r>
              <w:rPr>
                <w:sz w:val="20"/>
                <w:szCs w:val="20"/>
                <w:shd w:fill="auto" w:val="clear"/>
              </w:rPr>
              <w:t>.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Наличие</w:t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Соответствие</w:t>
            </w:r>
          </w:p>
        </w:tc>
      </w:tr>
      <w:tr>
        <w:trPr>
          <w:trHeight w:val="465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1.5.</w:t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Требования к контролю доступа и журналированию: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465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Система должна обеспечивать:</w:t>
              <w:br/>
              <w:t>- контроль доступа к системам через RDP, webRDP, HTTP/S и SSH;</w:t>
              <w:br/>
              <w:t>- логирование сессий в текстовом формате (для RDP, SSH) и видеоформате (для RDP, webRDP, HTTP/S), либо направление действий на Syslog-сервер;</w:t>
              <w:br/>
              <w:t>- просмотр логов и записей сессий удаленного доступа через личный кабинет администратора;</w:t>
              <w:br/>
              <w:t>- уведомление администраторов по электронной почте о вводе запрещенных команд в SSH-сессиях.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Наличие</w:t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Соответствие</w:t>
            </w:r>
          </w:p>
        </w:tc>
      </w:tr>
      <w:tr>
        <w:trPr>
          <w:trHeight w:val="465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1.6.</w:t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Требования к интеграции и управлению пользователями: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465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Система должна обеспечивать:</w:t>
              <w:br/>
              <w:t>- синхронизацию пользователей Active Directory в личном кабинете;</w:t>
              <w:br/>
              <w:t>- возможность использовать несколько доменов Active Directory;</w:t>
              <w:br/>
              <w:t>- проверку учетных данных в Active Directory;</w:t>
              <w:br/>
              <w:t>- безопасный доступ пользователям вне домена с возможностью регистрации без наличия в каталоге;</w:t>
              <w:br/>
              <w:t>- саморегистрацию пользователей по электронной почте при доступе из сети Интернет;</w:t>
              <w:br/>
              <w:t>- возможность приглашения администраторов и пользователей через личный кабинет администратора.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Наличие</w:t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Соответствие</w:t>
            </w:r>
          </w:p>
        </w:tc>
      </w:tr>
      <w:tr>
        <w:trPr>
          <w:trHeight w:val="465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1.7.</w:t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Требования к аутентификации, политикам доступа и администрированию: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465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Система должна обеспечивать:</w:t>
              <w:br/>
              <w:t>- встроенную двухфакторную аутентификацию Контур.ID со способом подтверждения посредством OTP-кода</w:t>
            </w:r>
          </w:p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;</w:t>
              <w:br/>
              <w:t>- возможность самостоятельной замены устройства для 2FA пользователем при наличии доступа к старому устройству, а при отсутствии доступа – через администратора системы;</w:t>
              <w:br/>
              <w:t>- настройку политик доступа по группам пользователей, часовым поясам, дням недели и интервалам времени;</w:t>
              <w:br/>
              <w:t>- настройку запрещенных команд в SSH-сессиях;</w:t>
              <w:br/>
              <w:t>- просмотр событий успешной и неуспешной аутентификации пользователя;</w:t>
              <w:br/>
              <w:t>- управление изменениями двухфакторной аутентификации привилегированных пользователей через личный кабинет администратора.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Наличие</w:t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Соответствие</w:t>
            </w:r>
          </w:p>
        </w:tc>
      </w:tr>
      <w:tr>
        <w:trPr>
          <w:trHeight w:val="465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1.8.</w:t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Требования к отчетности: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465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Система должна обеспечивать формирование и предоставление сведений, достаточных для контроля и анализа удаленного доступа, в том числе:</w:t>
              <w:br/>
              <w:t>- сведения об успешных и неуспешных попытках аутентификации пользователей;</w:t>
              <w:br/>
              <w:t>- журналы действий пользователей и администраторов;</w:t>
              <w:br/>
              <w:t>- текстовые и видео-логи сессий удаленного доступа;</w:t>
              <w:br/>
              <w:t>- возможность анализа сессий через личный кабинет администратора;</w:t>
              <w:br/>
              <w:t>- направление событий и журналов на внешний Syslog-сервер при необходимости.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Наличие</w:t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Соответствие</w:t>
            </w:r>
          </w:p>
        </w:tc>
      </w:tr>
      <w:tr>
        <w:trPr>
          <w:trHeight w:val="465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1.9.</w:t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Требования для эксплуатации продукта: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465" w:hRule="atLeast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Система должна обеспечивать:</w:t>
              <w:br/>
              <w:t>- установку PAM On-premise на ОС Linux при наличии Docker, Docker Compose, dotnet-runtime-8.0 и aspnetcore-runtime-8.0;</w:t>
              <w:br/>
              <w:t>- сетевую доступность до контроллера домена по LDAP (389) / LDAPS (636) и до серверов вендора по HTTPS (443);</w:t>
              <w:br/>
              <w:t>- работу контролируемых Windows-машин при открытом порте 444 и контролируемых Linux-машин при наличии SSH-сервера;</w:t>
              <w:br/>
              <w:t>- работу при минимальных системных требованиях: 8 CPU, 12 GB RAM, 500 GB HDD для сервера PAM On-premise;</w:t>
              <w:br/>
              <w:t>- обработку не менее 100 одновременных сессий и пропускную способность не менее 4 000 аутентификаций в секунду;</w:t>
              <w:br/>
              <w:t xml:space="preserve">- поставку дистрибутива, передачу прав, </w:t>
            </w:r>
            <w:r>
              <w:rPr>
                <w:sz w:val="20"/>
                <w:szCs w:val="20"/>
                <w:shd w:fill="auto" w:val="clear"/>
                <w:lang w:val="ru-RU"/>
              </w:rPr>
              <w:t>оказание</w:t>
            </w:r>
            <w:r>
              <w:rPr>
                <w:sz w:val="20"/>
                <w:szCs w:val="20"/>
                <w:shd w:fill="auto" w:val="clear"/>
              </w:rPr>
              <w:t xml:space="preserve"> </w:t>
            </w:r>
            <w:r>
              <w:rPr>
                <w:sz w:val="20"/>
                <w:szCs w:val="20"/>
                <w:shd w:fill="auto" w:val="clear"/>
                <w:lang w:val="ru-RU"/>
              </w:rPr>
              <w:t>у</w:t>
            </w:r>
            <w:r>
              <w:rPr>
                <w:sz w:val="20"/>
                <w:szCs w:val="20"/>
                <w:shd w:fill="auto" w:val="clear"/>
              </w:rPr>
              <w:t>слуг по сопровождению программы.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Наличие</w:t>
            </w:r>
          </w:p>
        </w:tc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Согласие с требованием</w:t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rPr>
                <w:highlight w:val="none"/>
                <w:shd w:fill="auto" w:val="clear"/>
              </w:rPr>
            </w:pPr>
            <w:r>
              <w:rPr>
                <w:sz w:val="20"/>
                <w:szCs w:val="20"/>
                <w:shd w:fill="auto" w:val="clear"/>
              </w:rPr>
              <w:t>Соответствие</w:t>
            </w:r>
          </w:p>
        </w:tc>
      </w:tr>
    </w:tbl>
    <w:p>
      <w:pPr>
        <w:pStyle w:val="Normal"/>
        <w:tabs>
          <w:tab w:val="clear" w:pos="720"/>
          <w:tab w:val="left" w:pos="1134" w:leader="none"/>
        </w:tabs>
        <w:spacing w:before="0" w:after="120"/>
        <w:ind w:left="142" w:right="-314" w:hanging="0"/>
        <w:jc w:val="both"/>
        <w:rPr>
          <w:highlight w:val="none"/>
          <w:shd w:fill="auto" w:val="clear"/>
        </w:rPr>
      </w:pPr>
      <w:r>
        <w:rPr>
          <w:shd w:fill="auto" w:val="clear"/>
        </w:rPr>
        <w:t>*Участник должен подтвердить соответствие предлагаемого программного продукта требованиям настоящих Технических требований и представить в составе заявки коммерческое предложение по форме, установленной документацией о закупке. При наличии применимых требований по импортозамещению и реестровому учету сведения о реестровой записи указываются участником дополнительно.</w:t>
      </w:r>
    </w:p>
    <w:p>
      <w:pPr>
        <w:pStyle w:val="Normal"/>
        <w:tabs>
          <w:tab w:val="clear" w:pos="720"/>
          <w:tab w:val="left" w:pos="1134" w:leader="none"/>
        </w:tabs>
        <w:spacing w:before="0" w:after="120"/>
        <w:ind w:left="142" w:right="-314" w:hanging="0"/>
        <w:jc w:val="both"/>
        <w:rPr>
          <w:b/>
          <w:bCs/>
          <w:i/>
          <w:i/>
          <w:iCs/>
          <w:sz w:val="20"/>
          <w:szCs w:val="20"/>
          <w:highlight w:val="none"/>
          <w:shd w:fill="auto" w:val="clear"/>
        </w:rPr>
      </w:pPr>
      <w:r>
        <w:rPr>
          <w:b/>
          <w:bCs/>
          <w:i/>
          <w:iCs/>
          <w:sz w:val="20"/>
          <w:szCs w:val="20"/>
          <w:shd w:fill="auto" w:val="clear"/>
        </w:rPr>
      </w:r>
    </w:p>
    <w:p>
      <w:pPr>
        <w:pStyle w:val="Normal"/>
        <w:tabs>
          <w:tab w:val="clear" w:pos="720"/>
          <w:tab w:val="left" w:pos="1134" w:leader="none"/>
        </w:tabs>
        <w:spacing w:before="0" w:after="120"/>
        <w:ind w:left="142" w:right="-314" w:hanging="0"/>
        <w:jc w:val="both"/>
        <w:rPr>
          <w:b/>
          <w:bCs/>
          <w:i/>
          <w:i/>
          <w:iCs/>
          <w:sz w:val="20"/>
          <w:szCs w:val="20"/>
          <w:highlight w:val="none"/>
          <w:shd w:fill="auto" w:val="clear"/>
        </w:rPr>
      </w:pPr>
      <w:r>
        <w:rPr>
          <w:b/>
          <w:bCs/>
          <w:i/>
          <w:iCs/>
          <w:sz w:val="20"/>
          <w:szCs w:val="20"/>
          <w:shd w:fill="auto" w:val="clear"/>
        </w:rPr>
      </w:r>
    </w:p>
    <w:p>
      <w:pPr>
        <w:pStyle w:val="Normal"/>
        <w:tabs>
          <w:tab w:val="clear" w:pos="720"/>
          <w:tab w:val="left" w:pos="1134" w:leader="none"/>
        </w:tabs>
        <w:spacing w:before="0" w:after="120"/>
        <w:ind w:left="142" w:right="-314" w:hanging="0"/>
        <w:jc w:val="both"/>
        <w:rPr>
          <w:b/>
          <w:bCs/>
          <w:i/>
          <w:i/>
          <w:iCs/>
          <w:sz w:val="20"/>
          <w:szCs w:val="20"/>
          <w:highlight w:val="none"/>
          <w:shd w:fill="auto" w:val="clear"/>
        </w:rPr>
      </w:pPr>
      <w:r>
        <w:rPr>
          <w:b/>
          <w:bCs/>
          <w:i/>
          <w:iCs/>
          <w:sz w:val="20"/>
          <w:szCs w:val="20"/>
          <w:shd w:fill="auto" w:val="clear"/>
        </w:rPr>
      </w:r>
    </w:p>
    <w:p>
      <w:pPr>
        <w:pStyle w:val="Normal"/>
        <w:tabs>
          <w:tab w:val="clear" w:pos="720"/>
          <w:tab w:val="left" w:pos="1134" w:leader="none"/>
        </w:tabs>
        <w:spacing w:before="0" w:after="120"/>
        <w:ind w:left="142" w:right="-314" w:hanging="0"/>
        <w:jc w:val="both"/>
        <w:rPr>
          <w:b/>
          <w:bCs/>
          <w:i/>
          <w:i/>
          <w:iCs/>
          <w:sz w:val="20"/>
          <w:szCs w:val="20"/>
          <w:highlight w:val="none"/>
          <w:shd w:fill="auto" w:val="clear"/>
        </w:rPr>
      </w:pPr>
      <w:r>
        <w:rPr>
          <w:b/>
          <w:bCs/>
          <w:i/>
          <w:iCs/>
          <w:sz w:val="20"/>
          <w:szCs w:val="20"/>
          <w:shd w:fill="auto" w:val="clear"/>
        </w:rPr>
      </w:r>
    </w:p>
    <w:p>
      <w:pPr>
        <w:pStyle w:val="Normal"/>
        <w:tabs>
          <w:tab w:val="clear" w:pos="720"/>
          <w:tab w:val="left" w:pos="1134" w:leader="none"/>
        </w:tabs>
        <w:spacing w:before="0" w:after="120"/>
        <w:ind w:left="142" w:right="-314" w:hanging="0"/>
        <w:jc w:val="both"/>
        <w:rPr>
          <w:highlight w:val="none"/>
          <w:shd w:fill="auto" w:val="clear"/>
        </w:rPr>
      </w:pPr>
      <w:r>
        <w:rPr>
          <w:b/>
          <w:bCs/>
          <w:i/>
          <w:iCs/>
          <w:sz w:val="20"/>
          <w:szCs w:val="20"/>
          <w:shd w:fill="auto" w:val="clear"/>
        </w:rPr>
        <w:t>Условия поставки эквивалентной продукции</w:t>
      </w:r>
    </w:p>
    <w:p>
      <w:pPr>
        <w:pStyle w:val="Normal"/>
        <w:spacing w:before="120" w:after="40"/>
        <w:ind w:left="142" w:right="-314" w:hanging="0"/>
        <w:rPr>
          <w:highlight w:val="none"/>
          <w:shd w:fill="auto" w:val="clear"/>
        </w:rPr>
      </w:pPr>
      <w:r>
        <w:rPr>
          <w:shd w:fill="auto" w:val="clear"/>
        </w:rPr>
        <w:t>Указанные в настоящем ТТ ссылки на наименование, тип, версию или конфигурацию продукции носят описательный, а не обязательный характер.</w:t>
      </w:r>
    </w:p>
    <w:p>
      <w:pPr>
        <w:pStyle w:val="Normal"/>
        <w:spacing w:before="120" w:after="40"/>
        <w:ind w:left="142" w:right="-314" w:hanging="0"/>
        <w:jc w:val="both"/>
        <w:rPr>
          <w:highlight w:val="none"/>
          <w:shd w:fill="auto" w:val="clear"/>
        </w:rPr>
      </w:pPr>
      <w:r>
        <w:rPr>
          <w:shd w:fill="auto" w:val="clear"/>
        </w:rPr>
        <w:t>В случае, если Участником предлагается эквивалентная продукция требуемой Заказчику продукции или ее составных частей, он должен в обязательном порядке в составе своего предложения предоставить подробное техническое описание предлагаемого к поставке эквивалента в объеме не менее установленных в настоящем ТТ требований.</w:t>
      </w:r>
    </w:p>
    <w:sectPr>
      <w:headerReference w:type="default" r:id="rId6"/>
      <w:headerReference w:type="first" r:id="rId7"/>
      <w:type w:val="nextPage"/>
      <w:pgSz w:orient="landscape" w:w="16838" w:h="11906"/>
      <w:pgMar w:left="992" w:right="1134" w:gutter="0" w:header="680" w:top="1134" w:footer="0" w:bottom="851"/>
      <w:pgNumType w:fmt="decimal"/>
      <w:formProt w:val="false"/>
      <w:titlePg/>
      <w:textDirection w:val="lrTb"/>
      <w:docGrid w:type="default" w:linePitch="100" w:charSpace="4294959103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</w:font>
  <w:font w:name="Arial">
    <w:charset w:val="00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Liberation Serif">
    <w:altName w:val="Times New Roman"/>
    <w:charset w:val="01"/>
    <w:family w:val="roman"/>
    <w:pitch w:val="variable"/>
    <w:embedRegular r:id="rId9" w:fontKey="{09014A78-CABC-4EF0-12AC-5CD89AEFDE09}"/>
    <w:embedBold r:id="rId10" w:fontKey="{0A014A78-CABC-4EF0-12AC-5CD89AEFDE0A}"/>
    <w:embedItalic r:id="rId11" w:fontKey="{0B014A78-CABC-4EF0-12AC-5CD89AEFDE0B}"/>
    <w:embedBoldItalic r:id="rId12" w:fontKey="{0C014A78-CABC-4EF0-12AC-5CD89AEFDE0C}"/>
  </w:font>
  <w:font w:name="Times New Roman"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Cambria">
    <w:charset w:val="01"/>
    <w:family w:val="roman"/>
    <w:pitch w:val="variable"/>
    <w:embedRegular r:id="rId13" w:fontKey="{0D014A78-CABC-4EF0-12AC-5CD89AEFDE0D}"/>
    <w:embedBold r:id="rId14" w:fontKey="{0E014A78-CABC-4EF0-12AC-5CD89AEFDE0E}"/>
    <w:embedItalic r:id="rId15" w:fontKey="{0F014A78-CABC-4EF0-12AC-5CD89AEFDE0F}"/>
    <w:embedBoldItalic r:id="rId16" w:fontKey="{10014A78-CABC-4EF0-12AC-5CD89AEFDE10}"/>
  </w:font>
  <w:font w:name="Liberation Sans">
    <w:altName w:val="Arial"/>
    <w:charset w:val="01"/>
    <w:family w:val="swiss"/>
    <w:pitch w:val="variable"/>
    <w:embedRegular r:id="rId17" w:fontKey="{11014A78-CABC-4EF0-12AC-5CD89AEFDE11}"/>
    <w:embedBold r:id="rId18" w:fontKey="{12014A78-CABC-4EF0-12AC-5CD89AEFDE12}"/>
    <w:embedItalic r:id="rId19" w:fontKey="{13014A78-CABC-4EF0-12AC-5CD89AEFDE13}"/>
    <w:embedBoldItalic r:id="rId20" w:fontKey="{14014A78-CABC-4EF0-12AC-5CD89AEFDE14}"/>
  </w:font>
  <w:font w:name="Arial">
    <w:charset w:val="01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tabs>
        <w:tab w:val="clear" w:pos="720"/>
        <w:tab w:val="center" w:pos="4677" w:leader="none"/>
        <w:tab w:val="right" w:pos="9355" w:leader="none"/>
      </w:tabs>
      <w:rPr>
        <w:color w:val="000000"/>
        <w:sz w:val="24"/>
        <w:szCs w:val="24"/>
      </w:rPr>
    </w:pPr>
    <w:r>
      <w:rPr>
        <w:color w:val="000000"/>
        <w:sz w:val="24"/>
        <w:szCs w:val="24"/>
      </w:rPr>
      <mc:AlternateContent>
        <mc:Choice Requires="wps">
          <w:drawing>
            <wp:anchor behindDoc="1" distT="0" distB="0" distL="0" distR="0" simplePos="0" locked="0" layoutInCell="0" allowOverlap="1" relativeHeight="2" wp14:anchorId="502EFE04">
              <wp:simplePos x="0" y="0"/>
              <wp:positionH relativeFrom="column">
                <wp:posOffset>0</wp:posOffset>
              </wp:positionH>
              <wp:positionV relativeFrom="paragraph">
                <wp:posOffset>635</wp:posOffset>
              </wp:positionV>
              <wp:extent cx="24130" cy="24130"/>
              <wp:effectExtent l="0" t="0" r="0" b="0"/>
              <wp:wrapSquare wrapText="bothSides"/>
              <wp:docPr id="1" name="Прямоугольник 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120" cy="2412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Style9"/>
                            <w:rPr/>
                          </w:pPr>
                          <w:r>
                            <w:rPr>
                              <w:rFonts w:eastAsia="Arial" w:cs="Arial" w:ascii="Arial" w:hAnsi="Arial"/>
                              <w:color w:val="000000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eastAsia="Arial" w:cs="Arial" w:ascii="Arial" w:hAnsi="Arial"/>
                              <w:color w:val="000000"/>
                              <w:sz w:val="24"/>
                            </w:rPr>
                            <w:t>PAGE 0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Прямоугольник 1" path="m0,0l-2147483645,0l-2147483645,-2147483646l0,-2147483646xe" stroked="f" o:allowincell="f" style="position:absolute;margin-left:366.85pt;margin-top:-0.3pt;width:1.85pt;height:1.85pt;mso-wrap-style:square;v-text-anchor:top" wp14:anchorId="502EFE04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Style9"/>
                      <w:rPr/>
                    </w:pPr>
                    <w:r>
                      <w:rPr>
                        <w:rFonts w:eastAsia="Arial" w:cs="Arial" w:ascii="Arial" w:hAnsi="Arial"/>
                        <w:color w:val="000000"/>
                        <w:sz w:val="24"/>
                      </w:rPr>
                      <w:t xml:space="preserve"> </w:t>
                    </w:r>
                    <w:r>
                      <w:rPr>
                        <w:rFonts w:eastAsia="Arial" w:cs="Arial" w:ascii="Arial" w:hAnsi="Arial"/>
                        <w:color w:val="000000"/>
                        <w:sz w:val="24"/>
                      </w:rPr>
                      <w:t>PAGE 0</w:t>
                    </w:r>
                  </w:p>
                </w:txbxContent>
              </v:textbox>
              <w10:wrap type="square"/>
            </v:rect>
          </w:pict>
        </mc:Fallback>
      </mc:AlternateConten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tabs>
        <w:tab w:val="clear" w:pos="720"/>
        <w:tab w:val="center" w:pos="4677" w:leader="none"/>
        <w:tab w:val="right" w:pos="9355" w:leader="none"/>
      </w:tabs>
      <w:jc w:val="center"/>
      <w:rPr>
        <w:color w:val="000000"/>
        <w:sz w:val="24"/>
        <w:szCs w:val="24"/>
      </w:rPr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4</w:t>
    </w:r>
    <w:r>
      <w:rPr/>
      <w:fldChar w:fldCharType="end"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tabs>
        <w:tab w:val="clear" w:pos="720"/>
        <w:tab w:val="center" w:pos="4677" w:leader="none"/>
        <w:tab w:val="right" w:pos="9355" w:leader="none"/>
      </w:tabs>
      <w:jc w:val="center"/>
      <w:rPr>
        <w:color w:val="000000"/>
        <w:sz w:val="24"/>
        <w:szCs w:val="24"/>
      </w:rPr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6</w:t>
    </w:r>
    <w:r>
      <w:rPr/>
      <w:fldChar w:fldCharType="end"/>
    </w:r>
  </w:p>
</w:hdr>
</file>

<file path=word/header4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rPr/>
    </w:pPr>
    <w:r>
      <w:rPr/>
    </w:r>
  </w:p>
</w:hdr>
</file>

<file path=word/header5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tabs>
        <w:tab w:val="clear" w:pos="720"/>
        <w:tab w:val="center" w:pos="4677" w:leader="none"/>
        <w:tab w:val="right" w:pos="9355" w:leader="none"/>
      </w:tabs>
      <w:jc w:val="center"/>
      <w:rPr>
        <w:color w:val="000000"/>
        <w:sz w:val="24"/>
        <w:szCs w:val="24"/>
      </w:rPr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8</w:t>
    </w:r>
    <w:r>
      <w:rPr/>
      <w:fldChar w:fldCharType="end"/>
    </w:r>
  </w:p>
</w:hdr>
</file>

<file path=word/header6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rPr/>
    </w:pPr>
    <w:r>
      <w:rPr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5038" w:hanging="360"/>
      </w:pPr>
      <w:rPr>
        <w:smallCaps w:val="false"/>
        <w:caps w:val="false"/>
        <w:dstrike w:val="false"/>
        <w:strike w:val="false"/>
        <w:vertAlign w:val="baseline"/>
        <w:position w:val="0"/>
        <w:sz w:val="28"/>
        <w:sz w:val="28"/>
        <w:i w:val="false"/>
        <w:u w:val="none"/>
        <w:b/>
        <w:szCs w:val="28"/>
        <w:iCs w:val="false"/>
        <w:bCs/>
        <w:rFonts w:ascii="Times New Roman" w:hAnsi="Times New Roman" w:eastAsia="Times New Roman" w:cs="Times New Roman"/>
        <w:color w:val="00000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432" w:hanging="432"/>
      </w:pPr>
      <w:rPr>
        <w:sz w:val="24"/>
        <w:i w:val="false"/>
        <w:b/>
        <w:szCs w:val="24"/>
        <w:iCs w:val="false"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/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7"/>
      </w:pPr>
      <w:rPr/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/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5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/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sz w:val="24"/>
        <w:b/>
        <w:szCs w:val="24"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142" w:hanging="432"/>
      </w:pPr>
      <w:rPr>
        <w:sz w:val="24"/>
        <w:b w:val="false"/>
        <w:szCs w:val="24"/>
        <w:bCs w:val="false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7"/>
      </w:pPr>
      <w:rPr/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/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5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/>
    </w:lvl>
  </w:abstractNum>
  <w:abstractNum w:abstractNumId="3">
    <w:lvl w:ilvl="0">
      <w:start w:val="3"/>
      <w:numFmt w:val="decimal"/>
      <w:lvlText w:val="%1."/>
      <w:lvlJc w:val="left"/>
      <w:pPr>
        <w:tabs>
          <w:tab w:val="num" w:pos="0"/>
        </w:tabs>
        <w:ind w:left="1080" w:hanging="360"/>
      </w:pPr>
      <w:rPr/>
    </w:lvl>
    <w:lvl w:ilvl="1">
      <w:start w:val="1"/>
      <w:numFmt w:val="decimal"/>
      <w:lvlText w:val="%1.%2."/>
      <w:lvlJc w:val="left"/>
      <w:pPr>
        <w:tabs>
          <w:tab w:val="num" w:pos="0"/>
        </w:tabs>
        <w:ind w:left="1140" w:hanging="420"/>
      </w:pPr>
      <w:rPr/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40" w:hanging="720"/>
      </w:pPr>
      <w:rPr>
        <w:b w:val="false"/>
        <w:bCs w:val="false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720"/>
      </w:pPr>
      <w:rPr/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800" w:hanging="1080"/>
      </w:pPr>
      <w:rPr/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080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160" w:hanging="144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440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520" w:hanging="1800"/>
      </w:pPr>
      <w:rPr/>
    </w:lvl>
  </w:abstractNum>
  <w:abstractNum w:abstractNumId="4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w="http://schemas.openxmlformats.org/wordprocessingml/2006/main">
  <w:zoom w:percent="120"/>
  <w:embedTrueTypeFonts/>
  <w:defaultTabStop w:val="720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sz w:val="28"/>
        <w:szCs w:val="28"/>
        <w:lang w:val="ru-RU" w:eastAsia="ru-RU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8"/>
      <w:szCs w:val="28"/>
      <w:lang w:val="ru-RU" w:eastAsia="ru-RU" w:bidi="ar-SA"/>
    </w:rPr>
  </w:style>
  <w:style w:type="paragraph" w:styleId="Heading1">
    <w:name w:val="Heading 1"/>
    <w:basedOn w:val="Normal"/>
    <w:next w:val="Normal"/>
    <w:uiPriority w:val="9"/>
    <w:qFormat/>
    <w:pPr>
      <w:keepNext w:val="true"/>
      <w:spacing w:before="120" w:after="60"/>
      <w:ind w:left="426" w:hanging="426"/>
      <w:outlineLvl w:val="0"/>
    </w:pPr>
    <w:rPr>
      <w:b/>
      <w:bCs/>
    </w:rPr>
  </w:style>
  <w:style w:type="paragraph" w:styleId="Heading2">
    <w:name w:val="Heading 2"/>
    <w:basedOn w:val="Normal"/>
    <w:next w:val="Normal"/>
    <w:uiPriority w:val="9"/>
    <w:unhideWhenUsed/>
    <w:qFormat/>
    <w:pPr>
      <w:keepNext w:val="true"/>
      <w:spacing w:before="120" w:after="60"/>
      <w:ind w:left="432" w:hanging="432"/>
      <w:outlineLvl w:val="1"/>
    </w:pPr>
    <w:rPr>
      <w:b/>
      <w:bCs/>
      <w:sz w:val="24"/>
      <w:szCs w:val="24"/>
    </w:rPr>
  </w:style>
  <w:style w:type="paragraph" w:styleId="Heading3">
    <w:name w:val="Heading 3"/>
    <w:basedOn w:val="Normal"/>
    <w:next w:val="Normal"/>
    <w:uiPriority w:val="9"/>
    <w:unhideWhenUsed/>
    <w:qFormat/>
    <w:pPr>
      <w:keepNext w:val="true"/>
      <w:spacing w:before="120" w:after="60"/>
      <w:ind w:left="426" w:hanging="426"/>
      <w:outlineLvl w:val="2"/>
    </w:pPr>
    <w:rPr>
      <w:b/>
      <w:bCs/>
      <w:sz w:val="24"/>
      <w:szCs w:val="24"/>
    </w:rPr>
  </w:style>
  <w:style w:type="paragraph" w:styleId="Heading4">
    <w:name w:val="Heading 4"/>
    <w:basedOn w:val="Normal"/>
    <w:next w:val="Normal"/>
    <w:uiPriority w:val="9"/>
    <w:unhideWhenUsed/>
    <w:qFormat/>
    <w:pPr>
      <w:keepNext w:val="true"/>
      <w:spacing w:before="120" w:after="60"/>
      <w:ind w:left="432" w:hanging="432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 w:val="true"/>
      <w:keepLines/>
      <w:spacing w:before="200" w:after="0"/>
      <w:outlineLvl w:val="5"/>
    </w:pPr>
    <w:rPr>
      <w:rFonts w:ascii="Cambria" w:hAnsi="Cambria" w:eastAsia="Cambria" w:cs="Cambria"/>
      <w:i/>
      <w:iCs/>
      <w:color w:val="243F60"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3" w:customStyle="1">
    <w:name w:val="Текст примечания Знак"/>
    <w:basedOn w:val="DefaultParagraphFont"/>
    <w:link w:val="Annotationtext"/>
    <w:uiPriority w:val="99"/>
    <w:semiHidden/>
    <w:qFormat/>
    <w:rPr>
      <w:sz w:val="20"/>
      <w:szCs w:val="20"/>
    </w:rPr>
  </w:style>
  <w:style w:type="character" w:styleId="Annotationreference">
    <w:name w:val="annotation reference"/>
    <w:basedOn w:val="DefaultParagraphFont"/>
    <w:uiPriority w:val="99"/>
    <w:semiHidden/>
    <w:unhideWhenUsed/>
    <w:qFormat/>
    <w:rPr>
      <w:sz w:val="16"/>
      <w:szCs w:val="16"/>
    </w:rPr>
  </w:style>
  <w:style w:type="character" w:styleId="Style4" w:customStyle="1">
    <w:name w:val="Тема примечания Знак"/>
    <w:basedOn w:val="Style3"/>
    <w:link w:val="Annotationsubject"/>
    <w:uiPriority w:val="99"/>
    <w:semiHidden/>
    <w:qFormat/>
    <w:rsid w:val="00e64e07"/>
    <w:rPr>
      <w:b/>
      <w:bCs/>
      <w:sz w:val="20"/>
      <w:szCs w:val="20"/>
    </w:rPr>
  </w:style>
  <w:style w:type="character" w:styleId="Hyperlink">
    <w:name w:val="Hyperlink"/>
    <w:rPr>
      <w:color w:val="000080"/>
      <w:u w:val="single"/>
    </w:rPr>
  </w:style>
  <w:style w:type="character" w:styleId="Style5">
    <w:name w:val="Ссылка указателя"/>
    <w:qFormat/>
    <w:rPr/>
  </w:style>
  <w:style w:type="paragraph" w:styleId="Style6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Tahoma" w:cs="Lohit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7">
    <w:name w:val="Указатель"/>
    <w:basedOn w:val="Normal"/>
    <w:qFormat/>
    <w:pPr>
      <w:suppressLineNumbers/>
    </w:pPr>
    <w:rPr>
      <w:rFonts w:cs="Lohit Devanagari"/>
    </w:rPr>
  </w:style>
  <w:style w:type="paragraph" w:styleId="Title">
    <w:name w:val="Title"/>
    <w:basedOn w:val="Normal"/>
    <w:next w:val="Normal"/>
    <w:uiPriority w:val="10"/>
    <w:qFormat/>
    <w:pPr>
      <w:pBdr/>
      <w:spacing w:before="240" w:after="60"/>
      <w:jc w:val="center"/>
    </w:pPr>
    <w:rPr>
      <w:rFonts w:ascii="Cambria" w:hAnsi="Cambria" w:eastAsia="Cambria" w:cs="Cambria"/>
      <w:b/>
      <w:bCs/>
      <w:color w:val="000000"/>
      <w:sz w:val="32"/>
      <w:szCs w:val="32"/>
    </w:rPr>
  </w:style>
  <w:style w:type="paragraph" w:styleId="Subtitle">
    <w:name w:val="Subtitle"/>
    <w:basedOn w:val="Normal"/>
    <w:next w:val="Normal"/>
    <w:uiPriority w:val="11"/>
    <w:qFormat/>
    <w:pPr>
      <w:ind w:left="1066" w:firstLine="709"/>
    </w:pPr>
    <w:rPr>
      <w:rFonts w:ascii="Cambria" w:hAnsi="Cambria" w:eastAsia="Cambria" w:cs="Cambria"/>
      <w:i/>
      <w:iCs/>
      <w:color w:val="4F81BD"/>
      <w:sz w:val="24"/>
      <w:szCs w:val="24"/>
    </w:rPr>
  </w:style>
  <w:style w:type="paragraph" w:styleId="Annotationtext">
    <w:name w:val="annotation text"/>
    <w:basedOn w:val="Normal"/>
    <w:link w:val="Style3"/>
    <w:uiPriority w:val="99"/>
    <w:semiHidden/>
    <w:unhideWhenUsed/>
    <w:qFormat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Style4"/>
    <w:uiPriority w:val="99"/>
    <w:semiHidden/>
    <w:unhideWhenUsed/>
    <w:qFormat/>
    <w:rsid w:val="00e64e07"/>
    <w:pPr/>
    <w:rPr>
      <w:b/>
      <w:bCs/>
    </w:rPr>
  </w:style>
  <w:style w:type="paragraph" w:styleId="Revision">
    <w:name w:val="Revision"/>
    <w:uiPriority w:val="99"/>
    <w:semiHidden/>
    <w:qFormat/>
    <w:rsid w:val="00677dd9"/>
    <w:pPr>
      <w:widowControl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8"/>
      <w:szCs w:val="28"/>
      <w:lang w:val="ru-RU" w:eastAsia="ru-RU" w:bidi="ar-SA"/>
    </w:rPr>
  </w:style>
  <w:style w:type="paragraph" w:styleId="Style8">
    <w:name w:val="Колонтитул"/>
    <w:basedOn w:val="Normal"/>
    <w:qFormat/>
    <w:pPr/>
    <w:rPr/>
  </w:style>
  <w:style w:type="paragraph" w:styleId="Header">
    <w:name w:val="Header"/>
    <w:basedOn w:val="Style8"/>
    <w:pPr/>
    <w:rPr/>
  </w:style>
  <w:style w:type="paragraph" w:styleId="Style9">
    <w:name w:val="Содержимое врезки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header" Target="header4.xml"/><Relationship Id="rId6" Type="http://schemas.openxmlformats.org/officeDocument/2006/relationships/header" Target="header5.xml"/><Relationship Id="rId7" Type="http://schemas.openxmlformats.org/officeDocument/2006/relationships/header" Target="header6.xml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<Relationship Id="rId12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eS1LEoWbmp2YA0qR9c4ZFkX0i5w==">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Application>AlterOffice/3.4.0.8$Linux_X86_64 LibreOffice_project/8f3f3c847f0b8d6fea24e251d3d8ed4f23cbe23c</Application>
  <AppVersion>15.0000</AppVersion>
  <Pages>11</Pages>
  <Words>1888</Words>
  <Characters>13231</Characters>
  <CharactersWithSpaces>13648</CharactersWithSpaces>
  <Paragraphs>261</Paragraphs>
  <Company>konturplus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2026-05-13T07:58:00Z</dcterms:created>
  <dc:creator>Галимуллина Елена Мидхатовна</dc:creator>
  <dc:description/>
  <dc:language>ru-RU</dc:language>
  <cp:lastModifiedBy>ilinivb@sed.local</cp:lastModifiedBy>
  <dcterms:modified xsi:type="dcterms:W3CDTF">2026-05-15T13:24:12Z</dcterms:modified>
  <cp:revision>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